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CC" w:rsidRDefault="00AD76CC">
      <w:pPr>
        <w:jc w:val="right"/>
        <w:rPr>
          <w:b/>
          <w:bCs/>
        </w:rPr>
      </w:pPr>
    </w:p>
    <w:p w:rsidR="00AD76CC" w:rsidRDefault="00AD76CC"/>
    <w:p w:rsidR="00AD76CC" w:rsidRDefault="000711F2">
      <w:pPr>
        <w:spacing w:before="0"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Утвержден приказом </w:t>
      </w:r>
    </w:p>
    <w:p w:rsidR="00AD76CC" w:rsidRDefault="000711F2">
      <w:pPr>
        <w:spacing w:before="0"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Генерального директора</w:t>
      </w:r>
    </w:p>
    <w:p w:rsidR="00AD76CC" w:rsidRDefault="000711F2">
      <w:pPr>
        <w:spacing w:before="0"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ПАО «ЧЗПСН-</w:t>
      </w:r>
      <w:proofErr w:type="spellStart"/>
      <w:r>
        <w:rPr>
          <w:bCs/>
          <w:sz w:val="24"/>
          <w:szCs w:val="24"/>
        </w:rPr>
        <w:t>Профнастил</w:t>
      </w:r>
      <w:proofErr w:type="spellEnd"/>
      <w:r>
        <w:rPr>
          <w:bCs/>
          <w:sz w:val="24"/>
          <w:szCs w:val="24"/>
        </w:rPr>
        <w:t>»</w:t>
      </w:r>
    </w:p>
    <w:p w:rsidR="00AD76CC" w:rsidRDefault="000711F2">
      <w:pPr>
        <w:spacing w:before="0" w:after="0"/>
        <w:jc w:val="right"/>
        <w:rPr>
          <w:bCs/>
          <w:sz w:val="24"/>
          <w:szCs w:val="24"/>
        </w:rPr>
      </w:pPr>
      <w:r w:rsidRPr="00171C74">
        <w:rPr>
          <w:bCs/>
          <w:sz w:val="24"/>
          <w:szCs w:val="24"/>
        </w:rPr>
        <w:t>От «2</w:t>
      </w:r>
      <w:r w:rsidR="00A95BD6" w:rsidRPr="00171C74">
        <w:rPr>
          <w:bCs/>
          <w:sz w:val="24"/>
          <w:szCs w:val="24"/>
        </w:rPr>
        <w:t>2</w:t>
      </w:r>
      <w:r w:rsidRPr="00171C74">
        <w:rPr>
          <w:bCs/>
          <w:sz w:val="24"/>
          <w:szCs w:val="24"/>
        </w:rPr>
        <w:t xml:space="preserve">» </w:t>
      </w:r>
      <w:r w:rsidR="00A95BD6" w:rsidRPr="00171C74">
        <w:rPr>
          <w:bCs/>
          <w:sz w:val="24"/>
          <w:szCs w:val="24"/>
        </w:rPr>
        <w:t>сентября</w:t>
      </w:r>
      <w:r w:rsidRPr="00171C74">
        <w:rPr>
          <w:bCs/>
          <w:sz w:val="24"/>
          <w:szCs w:val="24"/>
        </w:rPr>
        <w:t xml:space="preserve"> 2023г. № </w:t>
      </w:r>
      <w:r w:rsidR="00A95BD6" w:rsidRPr="00171C74">
        <w:rPr>
          <w:bCs/>
          <w:sz w:val="24"/>
          <w:szCs w:val="24"/>
        </w:rPr>
        <w:t>10</w:t>
      </w:r>
    </w:p>
    <w:p w:rsidR="00AD76CC" w:rsidRDefault="00AD76CC">
      <w:pPr>
        <w:spacing w:before="120"/>
        <w:jc w:val="center"/>
        <w:rPr>
          <w:b/>
          <w:bCs/>
          <w:sz w:val="32"/>
          <w:szCs w:val="32"/>
        </w:rPr>
      </w:pPr>
    </w:p>
    <w:p w:rsidR="00AD76CC" w:rsidRDefault="000711F2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ОТЧЕТ ЭМИТЕНТА </w:t>
      </w:r>
    </w:p>
    <w:p w:rsidR="00AD76CC" w:rsidRDefault="000711F2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ЭМИССИОННЫХ ЦЕННЫХ БУМАГ</w:t>
      </w:r>
    </w:p>
    <w:p w:rsidR="00AD76CC" w:rsidRDefault="000711F2">
      <w:pPr>
        <w:spacing w:before="60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Публичное акционерное общество "Челябинский завод профилированного стального настила"</w:t>
      </w:r>
    </w:p>
    <w:p w:rsidR="00AD76CC" w:rsidRDefault="000711F2">
      <w:pPr>
        <w:spacing w:before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Код эмитента: 45194-D</w:t>
      </w:r>
    </w:p>
    <w:p w:rsidR="00AD76CC" w:rsidRDefault="000711F2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 </w:t>
      </w:r>
      <w:r w:rsidR="00AA7E6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месяцев 202</w:t>
      </w:r>
      <w:r w:rsidR="00AA7E6F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г.</w:t>
      </w:r>
    </w:p>
    <w:p w:rsidR="00AD76CC" w:rsidRDefault="00AD76CC">
      <w:pPr>
        <w:spacing w:before="360"/>
        <w:jc w:val="center"/>
        <w:rPr>
          <w:b/>
          <w:bCs/>
          <w:sz w:val="32"/>
          <w:szCs w:val="32"/>
        </w:rPr>
      </w:pPr>
    </w:p>
    <w:p w:rsidR="00AD76CC" w:rsidRDefault="000711F2">
      <w:pPr>
        <w:spacing w:before="60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Информация, содержащаяся в настоящем отчете эмитента, подлежит раскрытию в соответствии с законодательством Российской Федерации о ценных бумагах</w:t>
      </w:r>
    </w:p>
    <w:p w:rsidR="00AD76CC" w:rsidRDefault="00AD76CC">
      <w:pPr>
        <w:spacing w:before="600" w:after="360"/>
        <w:jc w:val="center"/>
        <w:rPr>
          <w:b/>
          <w:bCs/>
          <w:sz w:val="24"/>
          <w:szCs w:val="24"/>
        </w:rPr>
      </w:pPr>
    </w:p>
    <w:p w:rsidR="00AD76CC" w:rsidRDefault="00A73421">
      <w:pPr>
        <w:spacing w:before="600" w:after="360"/>
        <w:jc w:val="center"/>
        <w:rPr>
          <w:b/>
          <w:bCs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6C4982B1" wp14:editId="5B279F4F">
            <wp:extent cx="6210300" cy="3096348"/>
            <wp:effectExtent l="0" t="0" r="0" b="889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10300" cy="309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6CC" w:rsidRDefault="00AD76CC"/>
    <w:p w:rsidR="00AD76CC" w:rsidRDefault="000711F2">
      <w:pPr>
        <w:pStyle w:val="1"/>
      </w:pPr>
      <w:r>
        <w:br w:type="page"/>
      </w:r>
    </w:p>
    <w:p w:rsidR="00AD76CC" w:rsidRPr="00CF21BB" w:rsidRDefault="000711F2">
      <w:pPr>
        <w:pStyle w:val="1"/>
      </w:pPr>
      <w:r w:rsidRPr="00CF21BB">
        <w:lastRenderedPageBreak/>
        <w:t>Оглавление</w:t>
      </w:r>
    </w:p>
    <w:p w:rsidR="00AD76CC" w:rsidRPr="00171C74" w:rsidRDefault="000711F2">
      <w:r w:rsidRPr="00171C74">
        <w:t>Оглавление …………………………………………………………………………………………………………….... 2</w:t>
      </w:r>
    </w:p>
    <w:p w:rsidR="00AD76CC" w:rsidRPr="00171C74" w:rsidRDefault="000711F2">
      <w:r w:rsidRPr="00171C74">
        <w:t>Введение ……………………………………………………………………………………………………………</w:t>
      </w:r>
      <w:proofErr w:type="gramStart"/>
      <w:r w:rsidRPr="00171C74">
        <w:t>…....</w:t>
      </w:r>
      <w:proofErr w:type="gramEnd"/>
      <w:r w:rsidRPr="00171C74">
        <w:t>. 4</w:t>
      </w:r>
    </w:p>
    <w:p w:rsidR="00AD76CC" w:rsidRPr="00AA7E6F" w:rsidRDefault="00AD76CC">
      <w:pPr>
        <w:rPr>
          <w:highlight w:val="yellow"/>
        </w:rPr>
        <w:sectPr w:rsidR="00AD76CC" w:rsidRPr="00AA7E6F">
          <w:footerReference w:type="default" r:id="rId9"/>
          <w:pgSz w:w="11906" w:h="16838"/>
          <w:pgMar w:top="709" w:right="850" w:bottom="777" w:left="1276" w:header="0" w:footer="720" w:gutter="0"/>
          <w:cols w:space="720"/>
          <w:formProt w:val="0"/>
          <w:docGrid w:linePitch="100"/>
        </w:sectPr>
      </w:pPr>
    </w:p>
    <w:p w:rsidR="00AD76CC" w:rsidRPr="00AA7E6F" w:rsidRDefault="00AD76CC">
      <w:pPr>
        <w:rPr>
          <w:highlight w:val="yellow"/>
        </w:rPr>
      </w:pPr>
    </w:p>
    <w:sdt>
      <w:sdtPr>
        <w:rPr>
          <w:highlight w:val="yellow"/>
        </w:rPr>
        <w:id w:val="-105356404"/>
        <w:docPartObj>
          <w:docPartGallery w:val="Table of Contents"/>
          <w:docPartUnique/>
        </w:docPartObj>
      </w:sdtPr>
      <w:sdtEndPr/>
      <w:sdtContent>
        <w:p w:rsidR="00AD76CC" w:rsidRPr="00A85BD7" w:rsidRDefault="000711F2">
          <w:pPr>
            <w:rPr>
              <w:b/>
            </w:rPr>
          </w:pPr>
          <w:r w:rsidRPr="00A85BD7">
            <w:fldChar w:fldCharType="begin"/>
          </w:r>
          <w:r w:rsidRPr="00A85BD7">
            <w:rPr>
              <w:b/>
            </w:rPr>
            <w:instrText>TOC \o "1-9" \h</w:instrText>
          </w:r>
          <w:r w:rsidRPr="00A85BD7">
            <w:rPr>
              <w:b/>
            </w:rPr>
            <w:fldChar w:fldCharType="separate"/>
          </w:r>
          <w:r w:rsidRPr="00A85BD7">
            <w:rPr>
              <w:b/>
            </w:rPr>
            <w:t>Раздел 1. Управленческий отчет эмитента………………………………………………………………………….. 5</w:t>
          </w:r>
        </w:p>
        <w:p w:rsidR="00AD76CC" w:rsidRPr="00A85BD7" w:rsidRDefault="000711F2">
          <w:r w:rsidRPr="00A85BD7">
            <w:t>1.1. Общие сведения об эмитенте и его деятельности ………………………………………………………………... 5</w:t>
          </w:r>
        </w:p>
        <w:p w:rsidR="00AD76CC" w:rsidRPr="00A85BD7" w:rsidRDefault="000711F2">
          <w:r w:rsidRPr="00A85BD7">
            <w:t>1.2. Сведения о положении эмитента в отрасли ………………………………………………………………………. 6</w:t>
          </w:r>
        </w:p>
        <w:p w:rsidR="00AD76CC" w:rsidRPr="00A85BD7" w:rsidRDefault="000711F2">
          <w:r w:rsidRPr="00A85BD7">
            <w:t xml:space="preserve">1.3. Основные операционные показатели, характеризующие деятельность эмитента ……………………………... </w:t>
          </w:r>
          <w:r w:rsidR="00A85BD7" w:rsidRPr="00A85BD7">
            <w:t>6</w:t>
          </w:r>
        </w:p>
        <w:p w:rsidR="00AD76CC" w:rsidRPr="00A85BD7" w:rsidRDefault="000711F2">
          <w:r w:rsidRPr="00A85BD7">
            <w:t>1.4. Основные финансовые показатели эмитента …………………………………………………………………….</w:t>
          </w:r>
          <w:r w:rsidR="00A85BD7" w:rsidRPr="00A85BD7">
            <w:t>...6</w:t>
          </w:r>
        </w:p>
        <w:p w:rsidR="00AD76CC" w:rsidRPr="00A85BD7" w:rsidRDefault="000711F2">
          <w:r w:rsidRPr="00A85BD7">
            <w:t>1.5. Сведения об основных поставщиках, имеющих для эмитента существенное значение ……………………...</w:t>
          </w:r>
          <w:r w:rsidR="00A85BD7" w:rsidRPr="00A85BD7">
            <w:t>. .8</w:t>
          </w:r>
        </w:p>
        <w:p w:rsidR="00AD76CC" w:rsidRPr="00A85BD7" w:rsidRDefault="000711F2">
          <w:r w:rsidRPr="00A85BD7">
            <w:t>1.6. Сведения об основных дебиторах, имеющих для эмитента существенное значение …………………………</w:t>
          </w:r>
          <w:r w:rsidR="00A85BD7" w:rsidRPr="00A85BD7">
            <w:t>...8</w:t>
          </w:r>
        </w:p>
        <w:p w:rsidR="00AD76CC" w:rsidRPr="00A85BD7" w:rsidRDefault="000711F2">
          <w:r w:rsidRPr="00A85BD7">
            <w:t>1.7. Сведения об обязательствах эмитента ……………………………………………………………………………</w:t>
          </w:r>
          <w:r w:rsidR="00A85BD7" w:rsidRPr="00A85BD7">
            <w:t>...9</w:t>
          </w:r>
        </w:p>
        <w:p w:rsidR="00AD76CC" w:rsidRPr="00A85BD7" w:rsidRDefault="000711F2">
          <w:r w:rsidRPr="00A85BD7">
            <w:t>1.7.1. Сведения об основных кредиторах, имеющих для эмитента существенное значение ……………………...</w:t>
          </w:r>
          <w:r w:rsidR="00A85BD7" w:rsidRPr="00A85BD7">
            <w:t>...9</w:t>
          </w:r>
        </w:p>
        <w:p w:rsidR="00AD76CC" w:rsidRPr="00A85BD7" w:rsidRDefault="000711F2">
          <w:r w:rsidRPr="00A85BD7">
            <w:t>1.7.2. Сведения об обязательствах эмитента из предоставленного обеспечения ……………………………...…... 1</w:t>
          </w:r>
          <w:r w:rsidR="00A85BD7" w:rsidRPr="00A85BD7">
            <w:t>1</w:t>
          </w:r>
        </w:p>
        <w:p w:rsidR="00AD76CC" w:rsidRPr="00A85BD7" w:rsidRDefault="000711F2">
          <w:r w:rsidRPr="00A85BD7">
            <w:t>1.7.3. Сведения о прочих существенных обязательствах эмитента ………………………………………………… 1</w:t>
          </w:r>
          <w:r w:rsidR="00A85BD7" w:rsidRPr="00A85BD7">
            <w:t>1</w:t>
          </w:r>
        </w:p>
        <w:p w:rsidR="00AD76CC" w:rsidRPr="00A85BD7" w:rsidRDefault="000711F2">
          <w:r w:rsidRPr="00A85BD7">
            <w:t>1.8. Сведения о перспективах развития эмитента ……………………………………………………………………. 1</w:t>
          </w:r>
          <w:r w:rsidR="00A85BD7" w:rsidRPr="00A85BD7">
            <w:t>2</w:t>
          </w:r>
        </w:p>
        <w:p w:rsidR="00AD76CC" w:rsidRPr="00A85BD7" w:rsidRDefault="000711F2">
          <w:r w:rsidRPr="00A85BD7">
            <w:t>1.9. Сведения о рисках, связанных с деятельностью эмитента ……………………………………………………... 1</w:t>
          </w:r>
          <w:r w:rsidR="00A85BD7" w:rsidRPr="00A85BD7">
            <w:t>2</w:t>
          </w:r>
        </w:p>
        <w:p w:rsidR="00AD76CC" w:rsidRPr="00A85BD7" w:rsidRDefault="000711F2">
          <w:r w:rsidRPr="00A85BD7">
            <w:t>1.9.1. Отраслевые риски ……………………………………………………………………………………………….. 1</w:t>
          </w:r>
          <w:r w:rsidR="00A85BD7" w:rsidRPr="00A85BD7">
            <w:t>2</w:t>
          </w:r>
        </w:p>
        <w:p w:rsidR="00AD76CC" w:rsidRPr="00A85BD7" w:rsidRDefault="000711F2">
          <w:r w:rsidRPr="00A85BD7">
            <w:t>1.9.2. Страновые и региональные риски ……………………………………………………………………………… 1</w:t>
          </w:r>
          <w:r w:rsidR="00A85BD7" w:rsidRPr="00A85BD7">
            <w:t>2</w:t>
          </w:r>
        </w:p>
        <w:p w:rsidR="00AD76CC" w:rsidRPr="00A85BD7" w:rsidRDefault="000711F2">
          <w:r w:rsidRPr="00A85BD7">
            <w:t>1.9.3. Финансовые риски ………………………………………………………………………………………………. 1</w:t>
          </w:r>
          <w:r w:rsidR="00A85BD7" w:rsidRPr="00A85BD7">
            <w:t>2</w:t>
          </w:r>
        </w:p>
        <w:p w:rsidR="00AD76CC" w:rsidRPr="00A85BD7" w:rsidRDefault="000711F2">
          <w:r w:rsidRPr="00A85BD7">
            <w:t>1.9.4. Правовые риски ………………………………………………………………………………………………….. 1</w:t>
          </w:r>
          <w:r w:rsidR="00A85BD7" w:rsidRPr="00A85BD7">
            <w:t>2</w:t>
          </w:r>
        </w:p>
        <w:p w:rsidR="00AD76CC" w:rsidRPr="00A85BD7" w:rsidRDefault="000711F2">
          <w:r w:rsidRPr="00A85BD7">
            <w:t xml:space="preserve">1.9.5. Риск потери деловой репутации (репутационный риск) ……………………………………………………... </w:t>
          </w:r>
          <w:r w:rsidR="007C40E2" w:rsidRPr="00A85BD7">
            <w:t>1</w:t>
          </w:r>
          <w:r w:rsidR="00A85BD7" w:rsidRPr="00A85BD7">
            <w:t>2</w:t>
          </w:r>
        </w:p>
        <w:p w:rsidR="00AD76CC" w:rsidRPr="00A85BD7" w:rsidRDefault="000711F2">
          <w:r w:rsidRPr="00A85BD7">
            <w:t xml:space="preserve">1.9.6. Стратегический риск ……………………………………………………………………………………………. </w:t>
          </w:r>
          <w:r w:rsidR="007C40E2" w:rsidRPr="00A85BD7">
            <w:t>1</w:t>
          </w:r>
          <w:r w:rsidR="00A85BD7" w:rsidRPr="00A85BD7">
            <w:t>2</w:t>
          </w:r>
        </w:p>
        <w:p w:rsidR="00AD76CC" w:rsidRPr="00A85BD7" w:rsidRDefault="000711F2">
          <w:r w:rsidRPr="00A85BD7">
            <w:t xml:space="preserve">1.9.7. Риски, связанные с деятельностью эмитента ………………………………………………………………….. </w:t>
          </w:r>
          <w:r w:rsidR="00A85BD7" w:rsidRPr="00A85BD7">
            <w:t>12</w:t>
          </w:r>
        </w:p>
        <w:p w:rsidR="00AD76CC" w:rsidRPr="00A85BD7" w:rsidRDefault="000711F2">
          <w:r w:rsidRPr="00A85BD7">
            <w:t xml:space="preserve">1.9.8. Риск информационной безопасности ………………………………………………........................................... </w:t>
          </w:r>
          <w:r w:rsidR="00A85BD7" w:rsidRPr="00A85BD7">
            <w:t>13</w:t>
          </w:r>
        </w:p>
        <w:p w:rsidR="00AD76CC" w:rsidRPr="00A85BD7" w:rsidRDefault="000711F2">
          <w:r w:rsidRPr="00A85BD7">
            <w:t xml:space="preserve">1.9.9. Экологический риск ………………………………………………………........................................................... </w:t>
          </w:r>
          <w:r w:rsidR="00A85BD7" w:rsidRPr="00A85BD7">
            <w:t>13</w:t>
          </w:r>
        </w:p>
        <w:p w:rsidR="00AD76CC" w:rsidRPr="00A85BD7" w:rsidRDefault="000711F2">
          <w:r w:rsidRPr="00A85BD7">
            <w:t xml:space="preserve">1.9.10. Природно-климатический риск ………………………………………….......................................................... </w:t>
          </w:r>
          <w:r w:rsidR="00A85BD7" w:rsidRPr="00A85BD7">
            <w:t>13</w:t>
          </w:r>
        </w:p>
        <w:p w:rsidR="00AD76CC" w:rsidRPr="00A85BD7" w:rsidRDefault="000711F2">
          <w:r w:rsidRPr="00A85BD7">
            <w:t xml:space="preserve">1.9.11. Риски кредитных организаций ………………………………………………………………………………... </w:t>
          </w:r>
          <w:r w:rsidR="00A85BD7" w:rsidRPr="00A85BD7">
            <w:t>13</w:t>
          </w:r>
        </w:p>
        <w:p w:rsidR="00AD76CC" w:rsidRPr="00A85BD7" w:rsidRDefault="000711F2">
          <w:r w:rsidRPr="00A85BD7">
            <w:t xml:space="preserve">1.9.12. Иные риски, которые являются существенными для эмитента (группы эмитента) ………………………. </w:t>
          </w:r>
          <w:r w:rsidR="00A85BD7" w:rsidRPr="00A85BD7">
            <w:t>13</w:t>
          </w:r>
        </w:p>
        <w:p w:rsidR="00AD76CC" w:rsidRPr="00A85BD7" w:rsidRDefault="000711F2">
          <w:r w:rsidRPr="00A85BD7">
            <w:rPr>
              <w:b/>
            </w:rPr>
            <w:t xml:space="preserve">Раздел 2. Сведения о лицах, входящих в состав органов управления эмитента, сведения об организации в эмитенте управления рисками, контроля за финансовохозяйственной деятельностью и внутреннего контроля, внутреннего аудита, а также сведения о работниках эмитента ……………………………………. </w:t>
          </w:r>
          <w:r w:rsidR="00A85BD7" w:rsidRPr="00A85BD7">
            <w:rPr>
              <w:b/>
            </w:rPr>
            <w:t>14</w:t>
          </w:r>
        </w:p>
        <w:p w:rsidR="00AD76CC" w:rsidRPr="00A85BD7" w:rsidRDefault="000711F2">
          <w:r w:rsidRPr="00A85BD7">
            <w:t xml:space="preserve">2.1. Информация о лицах, входящих в состав органов управления эмитента ……………………………………... </w:t>
          </w:r>
          <w:r w:rsidR="00A85BD7" w:rsidRPr="00A85BD7">
            <w:t>14</w:t>
          </w:r>
        </w:p>
        <w:p w:rsidR="00AD76CC" w:rsidRPr="00A85BD7" w:rsidRDefault="000711F2">
          <w:r w:rsidRPr="00A85BD7">
            <w:t xml:space="preserve">2.1.1. Состав совета директоров (наблюдательного совета) эмитента ……………………………………………... </w:t>
          </w:r>
          <w:r w:rsidR="00A85BD7" w:rsidRPr="00A85BD7">
            <w:t>14</w:t>
          </w:r>
          <w:r w:rsidRPr="00A85BD7">
            <w:t xml:space="preserve"> </w:t>
          </w:r>
        </w:p>
        <w:p w:rsidR="00AD76CC" w:rsidRPr="00A85BD7" w:rsidRDefault="000711F2">
          <w:r w:rsidRPr="00A85BD7">
            <w:t xml:space="preserve">2.1.2. Информация о единоличном исполнительном органе эмитента ……………………………………………... </w:t>
          </w:r>
          <w:r w:rsidR="00A85BD7" w:rsidRPr="00A85BD7">
            <w:t>14</w:t>
          </w:r>
        </w:p>
        <w:p w:rsidR="00AD76CC" w:rsidRPr="00A85BD7" w:rsidRDefault="000711F2">
          <w:r w:rsidRPr="00A85BD7">
            <w:t xml:space="preserve">2.1.3. Состав коллегиального исполнительного органа эмитента …………………………………………………... </w:t>
          </w:r>
          <w:r w:rsidR="00A85BD7" w:rsidRPr="00A85BD7">
            <w:t>14</w:t>
          </w:r>
        </w:p>
        <w:p w:rsidR="00AD76CC" w:rsidRPr="00A85BD7" w:rsidRDefault="000711F2">
          <w:r w:rsidRPr="00A85BD7">
            <w:t xml:space="preserve"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 ………………………. </w:t>
          </w:r>
          <w:r w:rsidR="00A85BD7" w:rsidRPr="00A85BD7">
            <w:t>14</w:t>
          </w:r>
        </w:p>
        <w:p w:rsidR="00AD76CC" w:rsidRPr="00A85BD7" w:rsidRDefault="000711F2">
          <w:r w:rsidRPr="00A85BD7">
            <w:t xml:space="preserve"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 ………………………………………………………. </w:t>
          </w:r>
          <w:r w:rsidR="00A85BD7" w:rsidRPr="00A85BD7">
            <w:t>15</w:t>
          </w:r>
        </w:p>
        <w:p w:rsidR="00AD76CC" w:rsidRPr="00A85BD7" w:rsidRDefault="000711F2">
          <w:r w:rsidRPr="00A85BD7">
            <w:t xml:space="preserve"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 ………….. </w:t>
          </w:r>
          <w:r w:rsidR="00A85BD7" w:rsidRPr="00A85BD7">
            <w:t>15</w:t>
          </w:r>
        </w:p>
        <w:p w:rsidR="00AD76CC" w:rsidRPr="00A85BD7" w:rsidRDefault="000711F2">
          <w:r w:rsidRPr="00A85BD7">
            <w:t xml:space="preserve"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 …………………... </w:t>
          </w:r>
          <w:r w:rsidR="00A85BD7" w:rsidRPr="00A85BD7">
            <w:t>15</w:t>
          </w:r>
        </w:p>
        <w:p w:rsidR="00AD76CC" w:rsidRPr="00A85BD7" w:rsidRDefault="000711F2">
          <w:pPr>
            <w:rPr>
              <w:b/>
            </w:rPr>
          </w:pPr>
          <w:r w:rsidRPr="00A85BD7">
            <w:rPr>
              <w:b/>
            </w:rPr>
            <w:t xml:space="preserve"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 …………………………. </w:t>
          </w:r>
          <w:r w:rsidR="00A85BD7" w:rsidRPr="00A85BD7">
            <w:rPr>
              <w:b/>
            </w:rPr>
            <w:t>16</w:t>
          </w:r>
        </w:p>
        <w:p w:rsidR="00AD76CC" w:rsidRPr="00A85BD7" w:rsidRDefault="000711F2">
          <w:r w:rsidRPr="00A85BD7">
            <w:t xml:space="preserve">3.1. Сведения об общем количестве акционеров (участников, членов) эмитента …………………………………. </w:t>
          </w:r>
          <w:r w:rsidR="00A85BD7" w:rsidRPr="00A85BD7">
            <w:t>16</w:t>
          </w:r>
        </w:p>
        <w:p w:rsidR="00AD76CC" w:rsidRPr="00A85BD7" w:rsidRDefault="000711F2">
          <w:r w:rsidRPr="00A85BD7">
            <w:t xml:space="preserve"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 ………………………………………………………………………………………………………………… </w:t>
          </w:r>
          <w:r w:rsidR="00A85BD7" w:rsidRPr="00A85BD7">
            <w:t>16</w:t>
          </w:r>
        </w:p>
        <w:p w:rsidR="00AD76CC" w:rsidRPr="00A85BD7" w:rsidRDefault="000711F2">
          <w:r w:rsidRPr="00A85BD7">
            <w:t xml:space="preserve"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 …………………... </w:t>
          </w:r>
          <w:r w:rsidR="00A85BD7" w:rsidRPr="00A85BD7">
            <w:t>16</w:t>
          </w:r>
        </w:p>
        <w:p w:rsidR="00AD76CC" w:rsidRPr="00A85BD7" w:rsidRDefault="000711F2">
          <w:r w:rsidRPr="00A85BD7">
            <w:t xml:space="preserve">3.4. Сделки эмитента, в совершении которых имелась заинтересованность ………………………………………. </w:t>
          </w:r>
          <w:r w:rsidR="00A85BD7" w:rsidRPr="00A85BD7">
            <w:t>16</w:t>
          </w:r>
        </w:p>
        <w:p w:rsidR="00AD76CC" w:rsidRPr="00A85BD7" w:rsidRDefault="000711F2">
          <w:r w:rsidRPr="00A85BD7">
            <w:t xml:space="preserve">3.5. Крупные сделки эмитента ………………………………………………………………………………………… </w:t>
          </w:r>
          <w:r w:rsidR="00A85BD7" w:rsidRPr="00A85BD7">
            <w:t>16</w:t>
          </w:r>
        </w:p>
        <w:p w:rsidR="00AD76CC" w:rsidRPr="00A85BD7" w:rsidRDefault="000711F2">
          <w:pPr>
            <w:rPr>
              <w:b/>
            </w:rPr>
          </w:pPr>
          <w:r w:rsidRPr="00A85BD7">
            <w:rPr>
              <w:b/>
            </w:rPr>
            <w:t xml:space="preserve">Раздел 4. Дополнительные сведения об эмитенте и о размещенных им ценных бумагах …………………... </w:t>
          </w:r>
          <w:r w:rsidR="00A85BD7" w:rsidRPr="00A85BD7">
            <w:rPr>
              <w:b/>
            </w:rPr>
            <w:t>17</w:t>
          </w:r>
        </w:p>
        <w:p w:rsidR="00AD76CC" w:rsidRPr="00A85BD7" w:rsidRDefault="000711F2">
          <w:r w:rsidRPr="00A85BD7">
            <w:t xml:space="preserve">4.1. Подконтрольные эмитенту организации, имеющие для него существенное значение ………………………. </w:t>
          </w:r>
          <w:r w:rsidR="00A85BD7" w:rsidRPr="00A85BD7">
            <w:t>17</w:t>
          </w:r>
        </w:p>
        <w:p w:rsidR="00AD76CC" w:rsidRPr="00A85BD7" w:rsidRDefault="000711F2">
          <w:r w:rsidRPr="00A85BD7">
            <w:t xml:space="preserve">4.2. Дополнительные сведения, раскрываемые эмитентами облигаций с целевым использованием денежных </w:t>
          </w:r>
          <w:r w:rsidRPr="00A85BD7">
            <w:lastRenderedPageBreak/>
            <w:t xml:space="preserve">средств, полученных от их размещения                                                                                                                          </w:t>
          </w:r>
          <w:r w:rsidR="00A85BD7" w:rsidRPr="00A85BD7">
            <w:t>17</w:t>
          </w:r>
        </w:p>
        <w:p w:rsidR="00AD76CC" w:rsidRPr="00A85BD7" w:rsidRDefault="000711F2">
          <w:r w:rsidRPr="00A85BD7">
            <w:t xml:space="preserve"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 …………... </w:t>
          </w:r>
          <w:r w:rsidR="00A85BD7" w:rsidRPr="00A85BD7">
            <w:t>17</w:t>
          </w:r>
        </w:p>
        <w:p w:rsidR="00AD76CC" w:rsidRPr="00A85BD7" w:rsidRDefault="000711F2">
          <w:r w:rsidRPr="00A85BD7">
            <w:t xml:space="preserve">4.3.1. Дополнительные сведения об ипотечном покрытии по облигациям эмитента с ипотечным покрытием … </w:t>
          </w:r>
          <w:r w:rsidR="00A85BD7" w:rsidRPr="00A85BD7">
            <w:t>17</w:t>
          </w:r>
        </w:p>
        <w:p w:rsidR="00AD76CC" w:rsidRPr="00A85BD7" w:rsidRDefault="000711F2">
          <w:r w:rsidRPr="00A85BD7">
            <w:t xml:space="preserve">4.3.2. Дополнительные сведения о залоговом обеспечении денежными требованиями по облигациям эмитента с залоговым обеспечением денежными требованиями ………………………………………………………………... </w:t>
          </w:r>
          <w:r w:rsidR="00A85BD7" w:rsidRPr="00A85BD7">
            <w:t>17</w:t>
          </w:r>
        </w:p>
        <w:p w:rsidR="00AD76CC" w:rsidRPr="00A85BD7" w:rsidRDefault="000711F2">
          <w:r w:rsidRPr="00A85BD7">
            <w:t xml:space="preserve">4.4. Сведения об объявленных и выплаченных дивидендах по акциям эмитента ………………………………… </w:t>
          </w:r>
          <w:r w:rsidR="00A85BD7" w:rsidRPr="00A85BD7">
            <w:t>17</w:t>
          </w:r>
        </w:p>
        <w:p w:rsidR="00AD76CC" w:rsidRPr="00A85BD7" w:rsidRDefault="000711F2">
          <w:r w:rsidRPr="00A85BD7">
            <w:t xml:space="preserve">4.5. Сведения об организациях, осуществляющих учет прав на эмиссионные ценные бумаги эмитента ……….. </w:t>
          </w:r>
          <w:r w:rsidR="00A85BD7" w:rsidRPr="00A85BD7">
            <w:t>17</w:t>
          </w:r>
        </w:p>
        <w:p w:rsidR="00AD76CC" w:rsidRPr="00A85BD7" w:rsidRDefault="000711F2">
          <w:r w:rsidRPr="00A85BD7">
            <w:t xml:space="preserve">4.5.1 Сведения о регистраторе, осуществляющем ведение реестра владельцев ценных бумаг эмитента ……….. </w:t>
          </w:r>
          <w:r w:rsidR="00A85BD7" w:rsidRPr="00A85BD7">
            <w:t>17</w:t>
          </w:r>
        </w:p>
        <w:p w:rsidR="00AD76CC" w:rsidRPr="00A85BD7" w:rsidRDefault="000711F2">
          <w:r w:rsidRPr="00A85BD7">
            <w:t xml:space="preserve">4.5.2. Сведения о депозитарии, осуществляющем централизованный учет прав на ценные бумаги эмитента …. </w:t>
          </w:r>
          <w:r w:rsidR="00A85BD7" w:rsidRPr="00A85BD7">
            <w:t>1</w:t>
          </w:r>
          <w:r w:rsidR="00CF21BB" w:rsidRPr="00A85BD7">
            <w:t>7</w:t>
          </w:r>
        </w:p>
        <w:p w:rsidR="00AD76CC" w:rsidRPr="00A85BD7" w:rsidRDefault="000711F2">
          <w:r w:rsidRPr="00A85BD7">
            <w:t xml:space="preserve">4.6. Информация об аудиторе эмитента ………………………………………………………………………………. </w:t>
          </w:r>
          <w:r w:rsidR="00A85BD7" w:rsidRPr="00A85BD7">
            <w:t>18</w:t>
          </w:r>
        </w:p>
        <w:p w:rsidR="00AD76CC" w:rsidRPr="00A85BD7" w:rsidRDefault="000711F2">
          <w:pPr>
            <w:rPr>
              <w:b/>
            </w:rPr>
          </w:pPr>
          <w:r w:rsidRPr="00A85BD7">
            <w:rPr>
              <w:b/>
            </w:rPr>
            <w:t xml:space="preserve">Раздел 5. Консолидированная финансовая отчетность (финансовая отчетность), бухгалтерская (финансовая) отчетность эмитента ………………………………………………………………………………… </w:t>
          </w:r>
          <w:r w:rsidR="00A85BD7" w:rsidRPr="00A85BD7">
            <w:rPr>
              <w:b/>
            </w:rPr>
            <w:t>19</w:t>
          </w:r>
        </w:p>
        <w:p w:rsidR="00AD76CC" w:rsidRPr="00A85BD7" w:rsidRDefault="000711F2">
          <w:r w:rsidRPr="00A85BD7">
            <w:t xml:space="preserve">5.1. Консолидированная финансовая отчетность (финансовая отчетность) эмитента ……………………………. </w:t>
          </w:r>
          <w:r w:rsidR="00A85BD7" w:rsidRPr="00A85BD7">
            <w:t>19</w:t>
          </w:r>
        </w:p>
        <w:p w:rsidR="00AD76CC" w:rsidRPr="00A85BD7" w:rsidRDefault="000711F2">
          <w:r w:rsidRPr="00A85BD7">
            <w:t xml:space="preserve">5.2. Бухгалтерская (финансовая) отчетность ………………………………………………………………………… </w:t>
          </w:r>
          <w:r w:rsidR="00A85BD7" w:rsidRPr="00A85BD7">
            <w:t>19</w:t>
          </w:r>
        </w:p>
        <w:p w:rsidR="00AD76CC" w:rsidRPr="00A85BD7" w:rsidRDefault="00AD76CC"/>
        <w:p w:rsidR="00AD76CC" w:rsidRPr="00AA7E6F" w:rsidRDefault="000711F2">
          <w:pPr>
            <w:pStyle w:val="2"/>
            <w:rPr>
              <w:b w:val="0"/>
              <w:highlight w:val="yellow"/>
            </w:rPr>
          </w:pPr>
          <w:r w:rsidRPr="00A85BD7">
            <w:rPr>
              <w:b w:val="0"/>
            </w:rPr>
            <w:fldChar w:fldCharType="end"/>
          </w:r>
        </w:p>
        <w:p w:rsidR="00AD76CC" w:rsidRDefault="009C7A86">
          <w:pPr>
            <w:sectPr w:rsidR="00AD76CC">
              <w:type w:val="continuous"/>
              <w:pgSz w:w="11906" w:h="16838"/>
              <w:pgMar w:top="709" w:right="850" w:bottom="777" w:left="1276" w:header="0" w:footer="720" w:gutter="0"/>
              <w:cols w:space="720"/>
              <w:formProt w:val="0"/>
              <w:docGrid w:linePitch="100"/>
            </w:sectPr>
          </w:pPr>
        </w:p>
      </w:sdtContent>
    </w:sdt>
    <w:p w:rsidR="00AD76CC" w:rsidRDefault="000711F2">
      <w:pPr>
        <w:pStyle w:val="2"/>
        <w:rPr>
          <w:b w:val="0"/>
          <w:color w:val="FF0000"/>
        </w:rPr>
      </w:pPr>
      <w:r>
        <w:rPr>
          <w:b w:val="0"/>
          <w:color w:val="FF0000"/>
        </w:rPr>
        <w:lastRenderedPageBreak/>
        <w:t>.</w:t>
      </w:r>
      <w:r>
        <w:br w:type="page"/>
      </w:r>
    </w:p>
    <w:p w:rsidR="00AD76CC" w:rsidRDefault="000711F2">
      <w:pPr>
        <w:pStyle w:val="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Введение</w:t>
      </w:r>
    </w:p>
    <w:p w:rsidR="00AD76CC" w:rsidRDefault="000711F2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Информация, содержащаяся в отчете эмитента, подлежит раскрытию в соответствии с пунктом 4 статьи 30 Федерального закона «О рынке ценных бумаг». </w:t>
      </w:r>
    </w:p>
    <w:p w:rsidR="00AD76CC" w:rsidRDefault="000711F2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Все основания возникновения у эмитента обязанности осуществлять раскрытие информации в форме отчета эмитента. </w:t>
      </w:r>
    </w:p>
    <w:p w:rsidR="00AD76CC" w:rsidRDefault="00AD76CC">
      <w:pPr>
        <w:ind w:left="200"/>
        <w:jc w:val="both"/>
        <w:rPr>
          <w:rStyle w:val="Subst"/>
          <w:bCs/>
          <w:iCs/>
          <w:sz w:val="24"/>
          <w:szCs w:val="24"/>
        </w:rPr>
      </w:pPr>
    </w:p>
    <w:p w:rsidR="00AD76CC" w:rsidRDefault="000711F2">
      <w:pPr>
        <w:ind w:firstLine="567"/>
        <w:jc w:val="both"/>
        <w:rPr>
          <w:b/>
          <w:i/>
          <w:sz w:val="24"/>
          <w:szCs w:val="24"/>
        </w:rPr>
      </w:pPr>
      <w:r>
        <w:rPr>
          <w:rStyle w:val="Subst"/>
          <w:bCs/>
          <w:iCs/>
          <w:sz w:val="24"/>
          <w:szCs w:val="24"/>
        </w:rPr>
        <w:t>В отношении ценных бумаг эмитента осуществлена регистрация проспекта ценных бумаг.</w:t>
      </w:r>
    </w:p>
    <w:p w:rsidR="00AD76CC" w:rsidRDefault="00AD76CC">
      <w:pPr>
        <w:ind w:firstLine="567"/>
        <w:jc w:val="both"/>
        <w:rPr>
          <w:b/>
          <w:i/>
          <w:sz w:val="24"/>
          <w:szCs w:val="24"/>
        </w:rPr>
      </w:pPr>
    </w:p>
    <w:p w:rsidR="00AD76CC" w:rsidRDefault="000711F2">
      <w:pPr>
        <w:ind w:firstLine="567"/>
        <w:jc w:val="both"/>
        <w:rPr>
          <w:b/>
          <w:i/>
          <w:sz w:val="24"/>
          <w:szCs w:val="24"/>
        </w:rPr>
      </w:pPr>
      <w:r>
        <w:rPr>
          <w:rStyle w:val="Subst"/>
          <w:bCs/>
          <w:iCs/>
          <w:sz w:val="24"/>
          <w:szCs w:val="24"/>
        </w:rPr>
        <w:t>Эмитент является акционерным обществом, созданным при приватизации государственных и/или муниципальных предприятий (их подразделений), и в соответствии с планом приватизации, утвержденным в установленном порядке и являвшимся на дату его утверждения проспектом эмиссии акций такого эмитента, была предусмотрена возможность отчуждения акций эмитента более чем 500 приобретателям либо неограниченному кругу лиц.</w:t>
      </w:r>
    </w:p>
    <w:p w:rsidR="00AD76CC" w:rsidRDefault="00AD76CC">
      <w:pPr>
        <w:ind w:firstLine="567"/>
        <w:jc w:val="both"/>
        <w:rPr>
          <w:b/>
          <w:i/>
          <w:sz w:val="24"/>
          <w:szCs w:val="24"/>
        </w:rPr>
      </w:pPr>
    </w:p>
    <w:p w:rsidR="00AD76CC" w:rsidRDefault="000711F2">
      <w:pPr>
        <w:ind w:firstLine="567"/>
        <w:jc w:val="both"/>
        <w:rPr>
          <w:b/>
          <w:i/>
          <w:sz w:val="24"/>
          <w:szCs w:val="24"/>
        </w:rPr>
      </w:pPr>
      <w:r>
        <w:rPr>
          <w:rStyle w:val="Subst"/>
          <w:bCs/>
          <w:iCs/>
          <w:sz w:val="24"/>
          <w:szCs w:val="24"/>
        </w:rPr>
        <w:t>Эмитент является публичным акционерным обществом.</w:t>
      </w:r>
    </w:p>
    <w:p w:rsidR="00AD76CC" w:rsidRDefault="00AD76CC">
      <w:pPr>
        <w:ind w:firstLine="567"/>
        <w:jc w:val="both"/>
        <w:rPr>
          <w:b/>
          <w:i/>
          <w:sz w:val="24"/>
          <w:szCs w:val="24"/>
          <w:highlight w:val="yellow"/>
        </w:rPr>
      </w:pPr>
    </w:p>
    <w:p w:rsidR="00AD76CC" w:rsidRDefault="007369D7">
      <w:pPr>
        <w:ind w:firstLine="567"/>
        <w:jc w:val="both"/>
        <w:rPr>
          <w:b/>
          <w:i/>
          <w:sz w:val="24"/>
          <w:szCs w:val="24"/>
        </w:rPr>
      </w:pPr>
      <w:r w:rsidRPr="00EB7995">
        <w:rPr>
          <w:b/>
          <w:bCs/>
          <w:i/>
          <w:sz w:val="24"/>
          <w:szCs w:val="24"/>
        </w:rPr>
        <w:t>Промежуточная сокращенная консолидированная финансовая отчетность (</w:t>
      </w:r>
      <w:proofErr w:type="spellStart"/>
      <w:r w:rsidRPr="00EB7995">
        <w:rPr>
          <w:b/>
          <w:bCs/>
          <w:i/>
          <w:sz w:val="24"/>
          <w:szCs w:val="24"/>
        </w:rPr>
        <w:t>неаудирован</w:t>
      </w:r>
      <w:r w:rsidR="00EB7995" w:rsidRPr="00EB7995">
        <w:rPr>
          <w:b/>
          <w:bCs/>
          <w:i/>
          <w:sz w:val="24"/>
          <w:szCs w:val="24"/>
        </w:rPr>
        <w:t>ная</w:t>
      </w:r>
      <w:proofErr w:type="spellEnd"/>
      <w:r w:rsidRPr="00EB7995">
        <w:rPr>
          <w:b/>
          <w:bCs/>
          <w:i/>
          <w:sz w:val="24"/>
          <w:szCs w:val="24"/>
        </w:rPr>
        <w:t>) за шесть месяцев, закончившихся 30 июня 202</w:t>
      </w:r>
      <w:r w:rsidR="00EB7995" w:rsidRPr="00EB7995">
        <w:rPr>
          <w:b/>
          <w:bCs/>
          <w:i/>
          <w:sz w:val="24"/>
          <w:szCs w:val="24"/>
        </w:rPr>
        <w:t>3</w:t>
      </w:r>
      <w:r w:rsidRPr="00EB7995">
        <w:rPr>
          <w:b/>
          <w:bCs/>
          <w:i/>
          <w:sz w:val="24"/>
          <w:szCs w:val="24"/>
        </w:rPr>
        <w:t xml:space="preserve"> г., подготовленная в соответствии с МСФО,</w:t>
      </w:r>
      <w:r w:rsidRPr="007369D7">
        <w:rPr>
          <w:b/>
          <w:bCs/>
          <w:i/>
          <w:color w:val="FF0000"/>
          <w:sz w:val="24"/>
          <w:szCs w:val="24"/>
        </w:rPr>
        <w:t xml:space="preserve"> </w:t>
      </w:r>
      <w:r w:rsidRPr="00EB7995">
        <w:rPr>
          <w:b/>
          <w:bCs/>
          <w:i/>
          <w:sz w:val="24"/>
          <w:szCs w:val="24"/>
        </w:rPr>
        <w:t>и Промежуточная бухгалтерская (финансовая) отчетность ПАО «ЧЗПСН-</w:t>
      </w:r>
      <w:proofErr w:type="spellStart"/>
      <w:r w:rsidRPr="00EB7995">
        <w:rPr>
          <w:b/>
          <w:bCs/>
          <w:i/>
          <w:sz w:val="24"/>
          <w:szCs w:val="24"/>
        </w:rPr>
        <w:t>Профнастил</w:t>
      </w:r>
      <w:proofErr w:type="spellEnd"/>
      <w:r w:rsidRPr="00EB7995">
        <w:rPr>
          <w:b/>
          <w:bCs/>
          <w:i/>
          <w:sz w:val="24"/>
          <w:szCs w:val="24"/>
        </w:rPr>
        <w:t xml:space="preserve">» за </w:t>
      </w:r>
      <w:r w:rsidR="00EB7995" w:rsidRPr="00EB7995">
        <w:rPr>
          <w:b/>
          <w:bCs/>
          <w:i/>
          <w:sz w:val="24"/>
          <w:szCs w:val="24"/>
        </w:rPr>
        <w:t>6 месяцев</w:t>
      </w:r>
      <w:r w:rsidRPr="00EB7995">
        <w:rPr>
          <w:b/>
          <w:bCs/>
          <w:i/>
          <w:sz w:val="24"/>
          <w:szCs w:val="24"/>
        </w:rPr>
        <w:t xml:space="preserve"> 202</w:t>
      </w:r>
      <w:r w:rsidR="00EB7995" w:rsidRPr="00EB7995">
        <w:rPr>
          <w:b/>
          <w:bCs/>
          <w:i/>
          <w:sz w:val="24"/>
          <w:szCs w:val="24"/>
        </w:rPr>
        <w:t>3</w:t>
      </w:r>
      <w:r w:rsidRPr="00EB7995">
        <w:rPr>
          <w:b/>
          <w:bCs/>
          <w:i/>
          <w:sz w:val="24"/>
          <w:szCs w:val="24"/>
        </w:rPr>
        <w:t xml:space="preserve"> год</w:t>
      </w:r>
      <w:r w:rsidR="000711F2" w:rsidRPr="00EB7995">
        <w:rPr>
          <w:b/>
          <w:bCs/>
          <w:i/>
          <w:sz w:val="24"/>
          <w:szCs w:val="24"/>
        </w:rPr>
        <w:t xml:space="preserve">, </w:t>
      </w:r>
      <w:r w:rsidR="000711F2" w:rsidRPr="00365B16">
        <w:rPr>
          <w:b/>
          <w:bCs/>
          <w:i/>
          <w:sz w:val="24"/>
          <w:szCs w:val="24"/>
        </w:rPr>
        <w:t>на основании которых в настоящем отчете эмитента раскрыта информация о финансово-хозяйственной деятельности эмитента, дает объективное и достоверное представление об активах, обязательствах, финансовом состоянии, прибыли или убытке эмитента. Информация о финансовом состоянии и результатах деятельности эмитента содержит достоверное представление о деятельности эмитента, а также об основных рисках, связанных с его деятельностью.</w:t>
      </w:r>
      <w:r w:rsidR="000711F2">
        <w:rPr>
          <w:b/>
          <w:bCs/>
          <w:i/>
          <w:sz w:val="24"/>
          <w:szCs w:val="24"/>
        </w:rPr>
        <w:t xml:space="preserve"> </w:t>
      </w:r>
    </w:p>
    <w:p w:rsidR="00AD76CC" w:rsidRDefault="00AD76CC">
      <w:pPr>
        <w:ind w:firstLine="567"/>
        <w:jc w:val="both"/>
        <w:rPr>
          <w:b/>
          <w:i/>
          <w:sz w:val="24"/>
          <w:szCs w:val="24"/>
          <w:highlight w:val="yellow"/>
        </w:rPr>
      </w:pPr>
    </w:p>
    <w:p w:rsidR="00AD76CC" w:rsidRDefault="000711F2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Информация о финансово-хозяйственной деятельности эмитента отражает его деятельность в качестве организации, которая вместе с другими организациями в соответствии с МСФО определяется как группа. </w:t>
      </w:r>
    </w:p>
    <w:p w:rsidR="00AD76CC" w:rsidRDefault="000711F2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Настоящий отчет эмитента содержит оценки и прогнозы в отношении будущих событий и (или) действий, перспектив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 </w:t>
      </w:r>
    </w:p>
    <w:p w:rsidR="00AD76CC" w:rsidRDefault="00AD76CC">
      <w:pPr>
        <w:ind w:firstLine="567"/>
        <w:jc w:val="both"/>
        <w:rPr>
          <w:b/>
          <w:i/>
          <w:sz w:val="24"/>
          <w:szCs w:val="24"/>
          <w:highlight w:val="yellow"/>
        </w:rPr>
      </w:pPr>
    </w:p>
    <w:p w:rsidR="00AD76CC" w:rsidRDefault="000711F2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Инвесторы не должны полностью полагаться на оценки и прогнозы, приведенные в настоящем отчете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</w:t>
      </w:r>
    </w:p>
    <w:p w:rsidR="00AD76CC" w:rsidRDefault="00AD76CC">
      <w:pPr>
        <w:jc w:val="both"/>
        <w:rPr>
          <w:b/>
          <w:i/>
          <w:sz w:val="24"/>
          <w:szCs w:val="24"/>
        </w:rPr>
      </w:pPr>
    </w:p>
    <w:p w:rsidR="00AD76CC" w:rsidRDefault="000711F2">
      <w:pPr>
        <w:pStyle w:val="1"/>
        <w:jc w:val="both"/>
      </w:pPr>
      <w:r>
        <w:br w:type="page"/>
      </w: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Раздел 1. Управленческий отчет эмитента</w:t>
      </w:r>
      <w:bookmarkStart w:id="0" w:name="sub_3210"/>
      <w:bookmarkEnd w:id="0"/>
    </w:p>
    <w:p w:rsidR="00AD76CC" w:rsidRDefault="00AD76C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1.1. Общие сведения об эмитенте и его деятельности</w:t>
      </w:r>
      <w:bookmarkStart w:id="1" w:name="sub_3211"/>
      <w:bookmarkEnd w:id="1"/>
    </w:p>
    <w:p w:rsidR="00AD76CC" w:rsidRDefault="00AD76C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Полное фирменное наименование эмитента: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Публичное акционерное общество «Челябинский завод профилированного стального настила».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Сокращенное фирменное наименование эмитента: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ПАО «ЧЗПСН-</w:t>
      </w:r>
      <w:proofErr w:type="spellStart"/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Профнастил</w:t>
      </w:r>
      <w:proofErr w:type="spellEnd"/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»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Место нахождения: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Российская Федерация, город Челябинск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Адрес эмитента: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454081 Россия, г. Челябинск, Валдайская 7 корп. АБК оф. 35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Сведения о способе создания эмитента: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Учреждение в соответствии с Указом Президента Российской Федерации «Об организационных мерах по преобразованию государственных предприятий, добровольных объединений государственных предприятий в акционерные общества» от 01 июля 1992 года № 721, в соответствии с планом приватизации.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Сведения о дате создания эмитента: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Дата государственной регистрации:</w:t>
      </w:r>
      <w:r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 xml:space="preserve"> 10.09.1993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Все изменения наименования и (или) реорганизации эмитента, в течение трех последних лет, предшествующих дате окончания отчетного периода, за который составлен отчет эмитента: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Наименования и (или) реорганизация эмитента в течение трех последних лет, предшествующих дате окончания отчетного периода, за который составлен отчет эмитента, не изменялись.</w:t>
      </w:r>
    </w:p>
    <w:p w:rsidR="00AD76CC" w:rsidRDefault="000711F2">
      <w:pPr>
        <w:spacing w:before="0" w:after="0"/>
        <w:ind w:firstLine="720"/>
        <w:jc w:val="both"/>
        <w:rPr>
          <w:rStyle w:val="Subst"/>
          <w:bCs/>
          <w:iCs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Основной государственный регистрационный номер (ОГРН):</w:t>
      </w:r>
      <w:r>
        <w:rPr>
          <w:rStyle w:val="Subst"/>
          <w:bCs/>
          <w:iCs/>
        </w:rPr>
        <w:t xml:space="preserve"> 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Style w:val="Subst"/>
          <w:bCs/>
          <w:iCs/>
          <w:sz w:val="24"/>
          <w:szCs w:val="24"/>
        </w:rPr>
        <w:t>1027402320494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Идентификационный номер налогоплательщика (ИНН) эмитента: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7447014976</w:t>
      </w:r>
    </w:p>
    <w:p w:rsidR="00AD76CC" w:rsidRDefault="000711F2">
      <w:pPr>
        <w:widowControl/>
        <w:shd w:val="clear" w:color="auto" w:fill="FFFFFF"/>
        <w:spacing w:before="0" w:after="0"/>
        <w:ind w:firstLine="851"/>
        <w:jc w:val="both"/>
        <w:rPr>
          <w:rFonts w:eastAsia="Calibri" w:cs="Times New Roman"/>
          <w:b/>
          <w:i/>
          <w:sz w:val="24"/>
          <w:szCs w:val="24"/>
          <w:lang w:eastAsia="en-US" w:bidi="ar-SA"/>
        </w:rPr>
      </w:pPr>
      <w:r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Публичное акционерное общество «Челябинский завод профилированного стального настила» специализируется на производстве строительных материалов из оцинкованного стального проката. Основной продукцией завода является: сэндвич-панели МВУ, окрашенная рулонная сталь стандартных и «сложных» покрытий, профилированный лист и фасонные элементы. </w:t>
      </w:r>
    </w:p>
    <w:p w:rsidR="00AD76CC" w:rsidRDefault="000711F2">
      <w:pPr>
        <w:widowControl/>
        <w:shd w:val="clear" w:color="auto" w:fill="FFFFFF"/>
        <w:spacing w:before="0" w:after="0"/>
        <w:ind w:firstLine="851"/>
        <w:jc w:val="both"/>
        <w:rPr>
          <w:rFonts w:eastAsia="Calibri" w:cs="Times New Roman"/>
          <w:b/>
          <w:i/>
          <w:sz w:val="24"/>
          <w:szCs w:val="24"/>
          <w:lang w:eastAsia="en-US" w:bidi="ar-SA"/>
        </w:rPr>
      </w:pPr>
      <w:r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С момента своего основания в 1974г. завод ориентировался на использование инновационных решений, находился у истоков новых отечественных отраслей производства. Так, еще в советское время компания, первая в стране, внедрила в свой производственный цикл окраску рулонного проката по передовой технологии </w:t>
      </w:r>
      <w:proofErr w:type="spellStart"/>
      <w:r>
        <w:rPr>
          <w:rFonts w:eastAsia="Calibri" w:cs="Times New Roman"/>
          <w:b/>
          <w:i/>
          <w:sz w:val="24"/>
          <w:szCs w:val="24"/>
          <w:lang w:eastAsia="en-US" w:bidi="ar-SA"/>
        </w:rPr>
        <w:t>Coil</w:t>
      </w:r>
      <w:proofErr w:type="spellEnd"/>
      <w:r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 </w:t>
      </w:r>
      <w:proofErr w:type="spellStart"/>
      <w:r>
        <w:rPr>
          <w:rFonts w:eastAsia="Calibri" w:cs="Times New Roman"/>
          <w:b/>
          <w:i/>
          <w:sz w:val="24"/>
          <w:szCs w:val="24"/>
          <w:lang w:eastAsia="en-US" w:bidi="ar-SA"/>
        </w:rPr>
        <w:t>Coating</w:t>
      </w:r>
      <w:proofErr w:type="spellEnd"/>
      <w:r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 (непрерывная окраска валковым методом) на автоматизированном оборудовании компании REDMAN (Великобритания), что стало неоспоримым конкурентным преимуществом завода. Завод также первым в СССР освоил выпуск сэндвич-панелей.</w:t>
      </w:r>
    </w:p>
    <w:p w:rsidR="00AD76CC" w:rsidRDefault="000711F2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851"/>
        <w:jc w:val="both"/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ПАО «ЧЗПСН-</w:t>
      </w:r>
      <w:proofErr w:type="spellStart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Профнастил</w:t>
      </w:r>
      <w:proofErr w:type="spellEnd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» входит в состав промышленной группы «</w:t>
      </w:r>
      <w:proofErr w:type="spellStart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Стройсистема</w:t>
      </w:r>
      <w:proofErr w:type="spellEnd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» (ООО «Электрощит-</w:t>
      </w:r>
      <w:proofErr w:type="spellStart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Стройсистема</w:t>
      </w:r>
      <w:proofErr w:type="spellEnd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», «</w:t>
      </w:r>
      <w:proofErr w:type="spellStart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Теплант</w:t>
      </w:r>
      <w:proofErr w:type="spellEnd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».)</w:t>
      </w:r>
    </w:p>
    <w:p w:rsidR="00AD76CC" w:rsidRDefault="000711F2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851"/>
        <w:jc w:val="both"/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Локация производства практически в центре страны (между Западной и Восточной частью РФ) и перспективное соседство с республикой Казахстан, что обеспечивает устойчивое обширное географическое присутствие продукции ЧЗПСН-</w:t>
      </w:r>
      <w:proofErr w:type="spellStart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>Профнастил</w:t>
      </w:r>
      <w:proofErr w:type="spellEnd"/>
      <w:r>
        <w:rPr>
          <w:rFonts w:eastAsia="Times New Roman" w:cs="Times New Roman"/>
          <w:b/>
          <w:i/>
          <w:kern w:val="0"/>
          <w:sz w:val="24"/>
          <w:szCs w:val="24"/>
          <w:lang w:eastAsia="ru-RU" w:bidi="ar-SA"/>
        </w:rPr>
        <w:t xml:space="preserve"> на разных рынках сбыта.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Общее число организаций, составляющих группу эмитента, и личный закон таких организаций: </w:t>
      </w: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группа эмитента состоит из двух организаций ПАО «ЧЗПСН-</w:t>
      </w:r>
      <w:proofErr w:type="spellStart"/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Профнастил</w:t>
      </w:r>
      <w:proofErr w:type="spellEnd"/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» и её дочерней организации ООО «</w:t>
      </w:r>
      <w:proofErr w:type="spellStart"/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Стальконструкция</w:t>
      </w:r>
      <w:proofErr w:type="spellEnd"/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» Российская Федерация.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Иные ограничения, связанные с участием в уставном капитале эмитента, установленные его уставом: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Ограничений на участие в уставном капитале эмитента нет.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Иная информация, которая, по мнению эмитента, является существенной для получения заинтересованными лицами общего представления об эмитенте и его финансово-хозяйственной деятельности:</w:t>
      </w:r>
    </w:p>
    <w:p w:rsidR="00AD76C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 имеется.</w:t>
      </w: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1.2. Сведения о положении эмитента в отрасли</w:t>
      </w:r>
      <w:bookmarkStart w:id="2" w:name="sub_3212"/>
      <w:bookmarkEnd w:id="2"/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</w:pPr>
    </w:p>
    <w:p w:rsidR="00DB1A81" w:rsidRDefault="00DB1A81" w:rsidP="00DB1A81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0131A4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DB1A81" w:rsidRDefault="00DB1A81" w:rsidP="00DB1A81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</w:p>
    <w:p w:rsidR="00AD76CC" w:rsidRPr="007C003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C003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1.3. Основные операционные показатели, характеризующие деятельность эмитента</w:t>
      </w:r>
      <w:bookmarkStart w:id="3" w:name="sub_3213"/>
      <w:bookmarkEnd w:id="3"/>
    </w:p>
    <w:p w:rsidR="00AD76CC" w:rsidRPr="007C003C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7C003C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C003C">
        <w:rPr>
          <w:rFonts w:ascii="Times New Roman CYR" w:eastAsia="Times New Roman" w:hAnsi="Times New Roman CYR" w:cs="Times New Roman CYR"/>
          <w:sz w:val="24"/>
          <w:szCs w:val="24"/>
        </w:rPr>
        <w:t>Основные операционные показатели, которые, наиболее объективно и всесторонне характеризуют финансово-хозяйственную деятельность группы эмитента в натуральном выражении.</w:t>
      </w:r>
    </w:p>
    <w:p w:rsidR="00AD76CC" w:rsidRPr="00DB1A81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998"/>
        <w:gridCol w:w="3531"/>
        <w:gridCol w:w="1558"/>
        <w:gridCol w:w="1985"/>
        <w:gridCol w:w="2129"/>
      </w:tblGrid>
      <w:tr w:rsidR="00AD76CC" w:rsidRPr="00DB1A81">
        <w:trPr>
          <w:trHeight w:val="6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CC" w:rsidRPr="007C003C" w:rsidRDefault="000711F2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CC" w:rsidRPr="007C003C" w:rsidRDefault="000711F2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CC" w:rsidRPr="007C003C" w:rsidRDefault="000711F2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CC" w:rsidRPr="007C003C" w:rsidRDefault="000711F2" w:rsidP="00B851FC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202</w:t>
            </w:r>
            <w:r w:rsidR="00B851FC"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="00B851FC"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CC" w:rsidRPr="007C003C" w:rsidRDefault="000711F2" w:rsidP="00B851FC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202</w:t>
            </w:r>
            <w:r w:rsidR="00B851FC"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="00B851FC"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  <w:r w:rsidRPr="007C003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 мес.</w:t>
            </w:r>
          </w:p>
        </w:tc>
      </w:tr>
      <w:tr w:rsidR="007C003C" w:rsidRPr="00DB1A81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Профнастил</w:t>
            </w:r>
            <w:proofErr w:type="spellEnd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421 200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538 334</w:t>
            </w:r>
          </w:p>
        </w:tc>
      </w:tr>
      <w:tr w:rsidR="007C003C" w:rsidRPr="00DB1A81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Плоский лист (оцинкованный)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61 869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59 585</w:t>
            </w:r>
          </w:p>
        </w:tc>
      </w:tr>
      <w:tr w:rsidR="007C003C" w:rsidRPr="00DB1A81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Металлочерепица</w:t>
            </w:r>
            <w:proofErr w:type="spellEnd"/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6 429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8 422</w:t>
            </w:r>
          </w:p>
        </w:tc>
      </w:tr>
      <w:tr w:rsidR="007C003C" w:rsidRPr="00DB1A81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Штрипс</w:t>
            </w:r>
            <w:proofErr w:type="spellEnd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(оцинкованный)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7C003C">
              <w:rPr>
                <w:rFonts w:cs="Times New Roman"/>
                <w:i/>
                <w:sz w:val="24"/>
                <w:szCs w:val="24"/>
              </w:rPr>
              <w:t>пог.м</w:t>
            </w:r>
            <w:proofErr w:type="spellEnd"/>
            <w:r w:rsidRPr="007C003C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170 455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157 947</w:t>
            </w:r>
          </w:p>
        </w:tc>
      </w:tr>
      <w:tr w:rsidR="007C003C" w:rsidRPr="00DB1A81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Погонажные</w:t>
            </w:r>
            <w:proofErr w:type="spellEnd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изделия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33 571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27 216</w:t>
            </w:r>
          </w:p>
        </w:tc>
      </w:tr>
      <w:tr w:rsidR="007C003C" w:rsidRPr="00DB1A81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Панели с МВУ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648 677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708 209</w:t>
            </w:r>
          </w:p>
        </w:tc>
      </w:tr>
      <w:tr w:rsidR="007C003C" w:rsidRPr="00DB1A81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Сталь рулонная окрашенная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7C003C">
              <w:rPr>
                <w:rFonts w:cs="Times New Roman"/>
                <w:i/>
                <w:sz w:val="24"/>
                <w:szCs w:val="24"/>
              </w:rPr>
              <w:t>пог.м</w:t>
            </w:r>
            <w:proofErr w:type="spellEnd"/>
            <w:r w:rsidRPr="007C003C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2 085 820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1 572 425</w:t>
            </w:r>
          </w:p>
        </w:tc>
      </w:tr>
      <w:tr w:rsidR="007C003C" w:rsidRPr="00DB1A81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Минераловатная</w:t>
            </w:r>
            <w:proofErr w:type="spellEnd"/>
            <w:r w:rsidRPr="007C00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плита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м3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219 999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03C" w:rsidRPr="007C003C" w:rsidRDefault="007C003C" w:rsidP="007C003C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7C003C">
              <w:rPr>
                <w:rFonts w:cs="Times New Roman"/>
                <w:i/>
                <w:sz w:val="24"/>
                <w:szCs w:val="24"/>
              </w:rPr>
              <w:t>240 616</w:t>
            </w:r>
          </w:p>
        </w:tc>
      </w:tr>
    </w:tbl>
    <w:p w:rsidR="00AD76CC" w:rsidRPr="00DB1A81" w:rsidRDefault="00AD76CC">
      <w:pPr>
        <w:rPr>
          <w:highlight w:val="yellow"/>
        </w:rPr>
      </w:pPr>
    </w:p>
    <w:p w:rsidR="00AD76CC" w:rsidRPr="007C003C" w:rsidRDefault="000711F2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C003C">
        <w:rPr>
          <w:rFonts w:ascii="Times New Roman CYR" w:eastAsia="Times New Roman" w:hAnsi="Times New Roman CYR" w:cs="Times New Roman CYR"/>
          <w:sz w:val="24"/>
          <w:szCs w:val="24"/>
        </w:rPr>
        <w:t>Анализ динамики изменения приведенных показателей операционной деятельности эмитента (группы эмитента).</w:t>
      </w:r>
    </w:p>
    <w:p w:rsidR="00AD76CC" w:rsidRPr="00DB1A81" w:rsidRDefault="00AD76CC">
      <w:pPr>
        <w:pStyle w:val="aff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003C" w:rsidRPr="007C003C" w:rsidRDefault="007C003C" w:rsidP="007C003C">
      <w:pPr>
        <w:pStyle w:val="aff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003C">
        <w:rPr>
          <w:rFonts w:ascii="Times New Roman" w:hAnsi="Times New Roman" w:cs="Times New Roman"/>
          <w:b/>
          <w:i/>
          <w:sz w:val="24"/>
          <w:szCs w:val="24"/>
        </w:rPr>
        <w:t xml:space="preserve">В 2023 году относительно 2022 произошло снижение производства плоского листа (на 4%), </w:t>
      </w:r>
      <w:proofErr w:type="spellStart"/>
      <w:r w:rsidRPr="007C003C">
        <w:rPr>
          <w:rFonts w:ascii="Times New Roman" w:hAnsi="Times New Roman" w:cs="Times New Roman"/>
          <w:b/>
          <w:i/>
          <w:sz w:val="24"/>
          <w:szCs w:val="24"/>
        </w:rPr>
        <w:t>штрипса</w:t>
      </w:r>
      <w:proofErr w:type="spellEnd"/>
      <w:r w:rsidRPr="007C003C">
        <w:rPr>
          <w:rFonts w:ascii="Times New Roman" w:hAnsi="Times New Roman" w:cs="Times New Roman"/>
          <w:b/>
          <w:i/>
          <w:sz w:val="24"/>
          <w:szCs w:val="24"/>
        </w:rPr>
        <w:t xml:space="preserve"> (на 7%), </w:t>
      </w:r>
      <w:proofErr w:type="spellStart"/>
      <w:r w:rsidRPr="007C003C">
        <w:rPr>
          <w:rFonts w:ascii="Times New Roman" w:hAnsi="Times New Roman" w:cs="Times New Roman"/>
          <w:b/>
          <w:i/>
          <w:sz w:val="24"/>
          <w:szCs w:val="24"/>
        </w:rPr>
        <w:t>погонажных</w:t>
      </w:r>
      <w:proofErr w:type="spellEnd"/>
      <w:r w:rsidRPr="007C003C">
        <w:rPr>
          <w:rFonts w:ascii="Times New Roman" w:hAnsi="Times New Roman" w:cs="Times New Roman"/>
          <w:b/>
          <w:i/>
          <w:sz w:val="24"/>
          <w:szCs w:val="24"/>
        </w:rPr>
        <w:t xml:space="preserve"> изделий (на 19%), рулонной стали (на 25%). При этом произошло увеличение выпуска </w:t>
      </w:r>
      <w:proofErr w:type="spellStart"/>
      <w:r w:rsidRPr="007C003C">
        <w:rPr>
          <w:rFonts w:ascii="Times New Roman" w:hAnsi="Times New Roman" w:cs="Times New Roman"/>
          <w:b/>
          <w:i/>
          <w:sz w:val="24"/>
          <w:szCs w:val="24"/>
        </w:rPr>
        <w:t>профнастила</w:t>
      </w:r>
      <w:proofErr w:type="spellEnd"/>
      <w:r w:rsidRPr="007C003C">
        <w:rPr>
          <w:rFonts w:ascii="Times New Roman" w:hAnsi="Times New Roman" w:cs="Times New Roman"/>
          <w:b/>
          <w:i/>
          <w:sz w:val="24"/>
          <w:szCs w:val="24"/>
        </w:rPr>
        <w:t xml:space="preserve"> (на 28%), </w:t>
      </w:r>
      <w:proofErr w:type="spellStart"/>
      <w:r w:rsidRPr="007C003C">
        <w:rPr>
          <w:rFonts w:ascii="Times New Roman" w:hAnsi="Times New Roman" w:cs="Times New Roman"/>
          <w:b/>
          <w:i/>
          <w:sz w:val="24"/>
          <w:szCs w:val="24"/>
        </w:rPr>
        <w:t>металлочерепицы</w:t>
      </w:r>
      <w:proofErr w:type="spellEnd"/>
      <w:r w:rsidRPr="007C003C">
        <w:rPr>
          <w:rFonts w:ascii="Times New Roman" w:hAnsi="Times New Roman" w:cs="Times New Roman"/>
          <w:b/>
          <w:i/>
          <w:sz w:val="24"/>
          <w:szCs w:val="24"/>
        </w:rPr>
        <w:t xml:space="preserve"> (на 31%), панелей (на 9%), что в свою очередь повлекло увеличение спроса на МВП.</w:t>
      </w:r>
    </w:p>
    <w:p w:rsidR="007C003C" w:rsidRPr="007C003C" w:rsidRDefault="007C003C" w:rsidP="007C003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C003C" w:rsidRPr="007C003C" w:rsidRDefault="007C003C" w:rsidP="007C003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C003C">
        <w:rPr>
          <w:rFonts w:ascii="Times New Roman CYR" w:eastAsia="Times New Roman" w:hAnsi="Times New Roman CYR" w:cs="Times New Roman CYR"/>
          <w:sz w:val="24"/>
          <w:szCs w:val="24"/>
        </w:rPr>
        <w:t>Основные события и факторы, в том числе макроэкономические, произошедшие в отчетном периоде, которые, по мнению эмитента, оказали существенное влияние на изменение основных операционных показателей эмитента (группы эмитента).</w:t>
      </w:r>
    </w:p>
    <w:p w:rsidR="007C003C" w:rsidRPr="007C003C" w:rsidRDefault="007C003C" w:rsidP="007C003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C003C" w:rsidRPr="007C003C" w:rsidRDefault="007C003C" w:rsidP="007C003C">
      <w:pPr>
        <w:spacing w:before="0" w:after="0"/>
        <w:ind w:firstLine="709"/>
        <w:jc w:val="both"/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</w:pPr>
      <w:r w:rsidRPr="007C003C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В 2023 году относительно 2022 снижение производства рулонной стали обусловлено приостановкой производства данной продукции в связи с проведением ремонтных работ линии полимерный покрытий в начале 2023 года.</w:t>
      </w:r>
    </w:p>
    <w:p w:rsidR="007C003C" w:rsidRPr="000711F2" w:rsidRDefault="007C003C" w:rsidP="007C003C">
      <w:pPr>
        <w:spacing w:before="0" w:after="0"/>
        <w:ind w:firstLine="709"/>
        <w:jc w:val="both"/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</w:pPr>
      <w:r w:rsidRPr="007C003C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Увеличение выпуска </w:t>
      </w:r>
      <w:proofErr w:type="spellStart"/>
      <w:r w:rsidRPr="007C003C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профнастила</w:t>
      </w:r>
      <w:proofErr w:type="spellEnd"/>
      <w:r w:rsidRPr="007C003C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, </w:t>
      </w:r>
      <w:proofErr w:type="spellStart"/>
      <w:r w:rsidRPr="007C003C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металлочерепицы</w:t>
      </w:r>
      <w:proofErr w:type="spellEnd"/>
      <w:r w:rsidRPr="007C003C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 связано с увеличением спроса на данный вид </w:t>
      </w:r>
      <w:proofErr w:type="spellStart"/>
      <w:r w:rsidRPr="007C003C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пролукции</w:t>
      </w:r>
      <w:proofErr w:type="spellEnd"/>
      <w:r w:rsidRPr="007C003C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, а увеличение выпуска панелей связано с принятым решением основным направлением продаж выбрать именно это направление, как наиболее перспективное и востребованное. Увеличение спроса на панели повлекло за собой увеличение спроса на МВП.</w:t>
      </w:r>
    </w:p>
    <w:p w:rsidR="00AD76CC" w:rsidRPr="000711F2" w:rsidRDefault="00AD76C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8756FF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1.4. Основные финансовые показатели эмитента</w:t>
      </w:r>
      <w:bookmarkStart w:id="4" w:name="sub_3214"/>
      <w:bookmarkEnd w:id="4"/>
    </w:p>
    <w:p w:rsidR="00AD76CC" w:rsidRPr="00DB1A81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6A64C4" w:rsidRDefault="000711F2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Финансовые показатели, характеризующие финансовые результаты деятельности группы эмитента:</w:t>
      </w:r>
    </w:p>
    <w:p w:rsidR="00AD76CC" w:rsidRPr="006A64C4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Style w:val="17"/>
        <w:tblW w:w="9889" w:type="dxa"/>
        <w:tblLook w:val="04A0" w:firstRow="1" w:lastRow="0" w:firstColumn="1" w:lastColumn="0" w:noHBand="0" w:noVBand="1"/>
      </w:tblPr>
      <w:tblGrid>
        <w:gridCol w:w="1221"/>
        <w:gridCol w:w="4697"/>
        <w:gridCol w:w="1841"/>
        <w:gridCol w:w="2130"/>
      </w:tblGrid>
      <w:tr w:rsidR="000711F2" w:rsidRPr="006A64C4" w:rsidTr="006A64C4">
        <w:tc>
          <w:tcPr>
            <w:tcW w:w="1221" w:type="dxa"/>
            <w:shd w:val="clear" w:color="auto" w:fill="auto"/>
          </w:tcPr>
          <w:p w:rsidR="00AD76CC" w:rsidRPr="006A64C4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N </w:t>
            </w:r>
          </w:p>
          <w:p w:rsidR="00AD76CC" w:rsidRPr="006A64C4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п/п</w:t>
            </w:r>
          </w:p>
        </w:tc>
        <w:tc>
          <w:tcPr>
            <w:tcW w:w="4697" w:type="dxa"/>
            <w:shd w:val="clear" w:color="auto" w:fill="auto"/>
          </w:tcPr>
          <w:p w:rsidR="00AD76CC" w:rsidRPr="006A64C4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shd w:val="clear" w:color="auto" w:fill="auto"/>
          </w:tcPr>
          <w:p w:rsidR="00AD76CC" w:rsidRPr="006A64C4" w:rsidRDefault="000711F2">
            <w:pPr>
              <w:spacing w:before="0" w:after="0"/>
              <w:jc w:val="both"/>
              <w:rPr>
                <w:rFonts w:ascii="Calibri" w:eastAsia="Calibri" w:hAnsi="Calibri" w:cs="Times New Roman"/>
                <w:kern w:val="0"/>
                <w:szCs w:val="22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2022</w:t>
            </w:r>
            <w:r w:rsidR="00B851FC"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, 6 мес.</w:t>
            </w:r>
          </w:p>
        </w:tc>
        <w:tc>
          <w:tcPr>
            <w:tcW w:w="2130" w:type="dxa"/>
            <w:shd w:val="clear" w:color="auto" w:fill="auto"/>
          </w:tcPr>
          <w:p w:rsidR="00AD76CC" w:rsidRPr="006A64C4" w:rsidRDefault="000711F2" w:rsidP="00B851FC">
            <w:pPr>
              <w:spacing w:before="0" w:after="0"/>
              <w:jc w:val="both"/>
              <w:rPr>
                <w:rFonts w:ascii="Calibri" w:eastAsia="Calibri" w:hAnsi="Calibri" w:cs="Times New Roman"/>
                <w:kern w:val="0"/>
                <w:szCs w:val="22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202</w:t>
            </w:r>
            <w:r w:rsidR="00B851FC"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3, 6 мес.</w:t>
            </w:r>
          </w:p>
        </w:tc>
      </w:tr>
      <w:tr w:rsidR="000711F2" w:rsidRPr="006A64C4" w:rsidTr="006A64C4">
        <w:tc>
          <w:tcPr>
            <w:tcW w:w="1221" w:type="dxa"/>
            <w:shd w:val="clear" w:color="auto" w:fill="auto"/>
          </w:tcPr>
          <w:p w:rsidR="00AD76CC" w:rsidRPr="006A64C4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1</w:t>
            </w:r>
          </w:p>
        </w:tc>
        <w:tc>
          <w:tcPr>
            <w:tcW w:w="4697" w:type="dxa"/>
            <w:shd w:val="clear" w:color="auto" w:fill="auto"/>
          </w:tcPr>
          <w:p w:rsidR="00AD76CC" w:rsidRPr="006A64C4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AD76CC" w:rsidRPr="006A64C4" w:rsidRDefault="000711F2">
            <w:pPr>
              <w:spacing w:before="0"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AD76CC" w:rsidRPr="006A64C4" w:rsidRDefault="000711F2">
            <w:pPr>
              <w:spacing w:before="0"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4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1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Выручка, руб.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5 116 890 000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4 973 216 000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2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Прибыль до вычета расходов по выплате процентов, налогов, износа основных средств и амортизации нематериальных активов (EBITDA), руб.</w:t>
            </w:r>
          </w:p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Операционная прибыль до вычета износа основных средств и амортизации нематериальных активов (OIBDA), руб.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420 37 000</w:t>
            </w: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464 555 000</w:t>
            </w: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207 054 000</w:t>
            </w: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173 305 000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3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Рентабельность по EBITDA</w:t>
            </w:r>
          </w:p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 xml:space="preserve">(EBITDA </w:t>
            </w:r>
            <w:proofErr w:type="spellStart"/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margin</w:t>
            </w:r>
            <w:proofErr w:type="spellEnd"/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), %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8,2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4,2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 xml:space="preserve">Рентабельность по OIBDA (OIBDA </w:t>
            </w:r>
            <w:proofErr w:type="spellStart"/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margin</w:t>
            </w:r>
            <w:proofErr w:type="spellEnd"/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), %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9,1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3,5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4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Чистая прибыль (убыток), руб.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254 461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67 641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5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Чистые денежные средства, полученные от операционной деятельности, руб.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261 852 000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309 011 000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6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Расходы на приобретение основных средств и нематериальных активов (капитальные затраты), руб.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78 830 000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42 271 000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7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Свободный денежный поток, руб.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153 836 000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266 740 000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8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Чистый долг, руб.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953 638 000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1 085 211 000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9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Отношение чистого долга к EBITDA за предыдущие 12 месяцев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2,3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5,2</w:t>
            </w:r>
          </w:p>
        </w:tc>
      </w:tr>
      <w:tr w:rsidR="006A64C4" w:rsidRPr="006A64C4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Отношение чистого долга к OIBDA за предыдущие 12 месяцев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2,1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</w:p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6,3</w:t>
            </w:r>
          </w:p>
        </w:tc>
      </w:tr>
      <w:tr w:rsidR="006A64C4" w:rsidRPr="00DB1A81" w:rsidTr="006A64C4">
        <w:tc>
          <w:tcPr>
            <w:tcW w:w="122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10</w:t>
            </w:r>
          </w:p>
        </w:tc>
        <w:tc>
          <w:tcPr>
            <w:tcW w:w="4697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A64C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Рентабельность капитала (ROE), %</w:t>
            </w:r>
          </w:p>
        </w:tc>
        <w:tc>
          <w:tcPr>
            <w:tcW w:w="1841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13,6</w:t>
            </w:r>
          </w:p>
        </w:tc>
        <w:tc>
          <w:tcPr>
            <w:tcW w:w="2130" w:type="dxa"/>
            <w:shd w:val="clear" w:color="auto" w:fill="auto"/>
          </w:tcPr>
          <w:p w:rsidR="006A64C4" w:rsidRPr="006A64C4" w:rsidRDefault="006A64C4" w:rsidP="006A64C4">
            <w:pPr>
              <w:spacing w:before="0" w:after="0"/>
              <w:jc w:val="both"/>
              <w:rPr>
                <w:szCs w:val="22"/>
              </w:rPr>
            </w:pPr>
            <w:r w:rsidRPr="006A64C4">
              <w:rPr>
                <w:szCs w:val="22"/>
              </w:rPr>
              <w:t>3,7</w:t>
            </w:r>
          </w:p>
        </w:tc>
      </w:tr>
    </w:tbl>
    <w:p w:rsidR="00AD76CC" w:rsidRPr="00DB1A81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6A64C4" w:rsidRPr="006A64C4" w:rsidRDefault="006A64C4" w:rsidP="006A64C4">
      <w:pPr>
        <w:widowControl/>
        <w:spacing w:before="0" w:after="0"/>
        <w:ind w:firstLine="851"/>
        <w:jc w:val="both"/>
      </w:pPr>
      <w:bookmarkStart w:id="5" w:name="sub_320301"/>
      <w:bookmarkEnd w:id="5"/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Примечание к таблице: эмитент применил иную методику расчета показателя Рентабельность капитала (ROE): вместо среднегодового размера собственного капитала использовалась средняя величина капитала за полугодие. Так как в опубликованных данных отчетности не содержится сумм для расчета среднегодового размера собственного капитала, используется для расчета следующая формула средней величины капитала за полугодие: (Собственный капитал на начало года + Собственный капитал на конец полугодия) /2.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</w:pPr>
      <w:r w:rsidRPr="006A64C4">
        <w:rPr>
          <w:rFonts w:eastAsia="Calibri" w:cs="Times New Roman"/>
          <w:kern w:val="0"/>
          <w:sz w:val="24"/>
          <w:szCs w:val="24"/>
          <w:lang w:eastAsia="en-US" w:bidi="ar-SA"/>
        </w:rPr>
        <w:t>Статьи консолидированной финансовой отчетности (финансовой отчетности), на основе которых рассчитан показатель «Чистый долг»: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</w:pPr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Показатель «Чистый долг» рассчитан как «Краткосрочное долговое финансирование + Долгосрочное долговое финансирование – Денежные средства и их эквиваленты.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</w:pPr>
      <w:r w:rsidRPr="006A64C4">
        <w:rPr>
          <w:rFonts w:eastAsia="Calibri" w:cs="Times New Roman"/>
          <w:kern w:val="0"/>
          <w:sz w:val="24"/>
          <w:szCs w:val="24"/>
          <w:lang w:eastAsia="en-US" w:bidi="ar-SA"/>
        </w:rPr>
        <w:t>Статьи консолидированной финансовой (финансовой) отчётности, на основе которых рассчитан показатель EBITDA или OIBDA: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</w:pPr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Показатель EBITDA рассчитан как сумма показателей «Чистая прибыль» и «Корректировки для сверки прибыли от операционной деятельности с EBITDA: Амортизация производственных активов, Налог на прибыль, Проценты за пользование кредитными средствами».</w:t>
      </w:r>
    </w:p>
    <w:p w:rsidR="006A64C4" w:rsidRPr="006A64C4" w:rsidRDefault="006A64C4" w:rsidP="006A64C4">
      <w:pPr>
        <w:widowControl/>
        <w:spacing w:before="0" w:after="0"/>
        <w:rPr>
          <w:rFonts w:ascii="TimesNewRomanPSMT" w:eastAsia="Calibri" w:hAnsi="TimesNewRomanPSMT" w:cs="TimesNewRomanPSMT"/>
          <w:kern w:val="0"/>
          <w:lang w:eastAsia="en-US" w:bidi="ar-SA"/>
        </w:rPr>
      </w:pPr>
    </w:p>
    <w:p w:rsidR="006A64C4" w:rsidRPr="006A64C4" w:rsidRDefault="006A64C4" w:rsidP="006A64C4">
      <w:pPr>
        <w:widowControl/>
        <w:spacing w:before="0" w:after="0"/>
        <w:ind w:firstLine="851"/>
        <w:jc w:val="both"/>
      </w:pPr>
      <w:r w:rsidRPr="006A64C4">
        <w:rPr>
          <w:rFonts w:eastAsia="Calibri" w:cs="Times New Roman"/>
          <w:kern w:val="0"/>
          <w:sz w:val="24"/>
          <w:szCs w:val="24"/>
          <w:lang w:eastAsia="en-US" w:bidi="ar-SA"/>
        </w:rPr>
        <w:t>Анализ динамики изменения приведенных финансовых показателей. 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финансовых показателей: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  <w:rPr>
          <w:rFonts w:cs="Times New Roman"/>
          <w:sz w:val="24"/>
          <w:szCs w:val="24"/>
        </w:rPr>
      </w:pPr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lastRenderedPageBreak/>
        <w:t>Снижение показателей: EBITDA, рентабельность по EBITDA, чистая прибыль обусловлены: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  <w:rPr>
          <w:rFonts w:cs="Times New Roman"/>
          <w:b/>
          <w:i/>
          <w:sz w:val="24"/>
          <w:szCs w:val="24"/>
        </w:rPr>
      </w:pPr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-</w:t>
      </w:r>
      <w:r w:rsidRPr="006A64C4">
        <w:rPr>
          <w:rFonts w:cs="Times New Roman"/>
          <w:b/>
          <w:i/>
          <w:color w:val="000000"/>
          <w:sz w:val="24"/>
          <w:szCs w:val="24"/>
          <w:shd w:val="clear" w:color="auto" w:fill="FFFFFF"/>
        </w:rPr>
        <w:t>ростом себестоимости продукции</w:t>
      </w:r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;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</w:pPr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-ростом цен на реализуемую эмитентом продукцию в 2023 году.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</w:pPr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Увеличение показателя – отношение чистого долга к EBITDA обусловлено сокращением прибыли от продаж.</w:t>
      </w:r>
    </w:p>
    <w:p w:rsidR="006A64C4" w:rsidRPr="006A64C4" w:rsidRDefault="006A64C4" w:rsidP="006A64C4">
      <w:pPr>
        <w:widowControl/>
        <w:spacing w:before="0" w:after="0"/>
        <w:ind w:firstLine="851"/>
        <w:jc w:val="both"/>
      </w:pPr>
      <w:r w:rsidRPr="006A64C4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Снижение показателя рентабельность капитала обусловлено снижением чистой прибыли на 27%, по сравнению с приростом среднего капитала на 7%.</w:t>
      </w:r>
    </w:p>
    <w:p w:rsidR="006A64C4" w:rsidRDefault="006A64C4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Pr="006A64C4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1.5. Сведения об основных поставщиках эмитента</w:t>
      </w:r>
      <w:bookmarkStart w:id="6" w:name="sub_3215"/>
      <w:bookmarkEnd w:id="6"/>
      <w:r w:rsidRPr="006A64C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.</w:t>
      </w:r>
    </w:p>
    <w:p w:rsidR="00AD76CC" w:rsidRPr="006A64C4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Основные поставщики группы эмитента, являющихся лицами, не входящими в группу эмитента (</w:t>
      </w:r>
      <w:proofErr w:type="spellStart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внешнегрупповые</w:t>
      </w:r>
      <w:proofErr w:type="spellEnd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 поставщики) объем и (или) доля поставок сырья и товаров (работ, услуг) приходящихся на поставщиков, входящих в группу эмитента, и на </w:t>
      </w:r>
      <w:proofErr w:type="spellStart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внешнегрупповх</w:t>
      </w:r>
      <w:proofErr w:type="spellEnd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 поставщиков имеет существенное значение. 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Уровень (количественный критерий) существенности объема и (или) доли поставок основного поставщика составляет 10 процентов от объема поставок сырья и товаров (работ, услуг) осуществленных </w:t>
      </w:r>
      <w:proofErr w:type="spellStart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внешнегрупповыми</w:t>
      </w:r>
      <w:proofErr w:type="spellEnd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поставщиками.</w:t>
      </w:r>
    </w:p>
    <w:p w:rsidR="00AD76CC" w:rsidRPr="004C3576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6A64C4" w:rsidRDefault="000711F2">
      <w:pPr>
        <w:pStyle w:val="af9"/>
        <w:numPr>
          <w:ilvl w:val="0"/>
          <w:numId w:val="5"/>
        </w:numPr>
        <w:spacing w:before="0" w:after="0"/>
        <w:ind w:left="0"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Публичное акционерное общество «Магнитогорский металлургический комбинат»;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ПАО «ММК»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7414003633;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1027402166835;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455002, Челябинская область, г. Магнитогорск, ул. Кирова, 93;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Краткое описание (характеристика) поставленного сырья и товаров (работ, услуг):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поставка рулонной стали;</w:t>
      </w:r>
    </w:p>
    <w:p w:rsidR="00AD76CC" w:rsidRPr="006A64C4" w:rsidRDefault="000711F2">
      <w:pPr>
        <w:spacing w:before="0" w:after="0"/>
        <w:ind w:firstLine="851"/>
        <w:jc w:val="both"/>
        <w:rPr>
          <w:b/>
          <w:i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объем и (или) доля поставок сырья и товаров (работ, услуг) приходящаяся </w:t>
      </w:r>
      <w:proofErr w:type="gramStart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на  </w:t>
      </w:r>
      <w:proofErr w:type="spellStart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внешнегруппового</w:t>
      </w:r>
      <w:proofErr w:type="spellEnd"/>
      <w:proofErr w:type="gramEnd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 поставщика: </w:t>
      </w:r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55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%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Поставщик является организацией, подконтрольной членам органов управления эмитента и (или) лицу, контролирующему эмитента: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</w:t>
      </w:r>
    </w:p>
    <w:p w:rsidR="00AD76CC" w:rsidRPr="004C3576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6A64C4" w:rsidRDefault="000711F2">
      <w:pPr>
        <w:pStyle w:val="af9"/>
        <w:spacing w:before="0" w:after="0"/>
        <w:ind w:left="560"/>
        <w:jc w:val="both"/>
      </w:pP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          2. </w:t>
      </w: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Общество с ограниченной ответственностью "</w:t>
      </w:r>
      <w:proofErr w:type="spellStart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Нанотех</w:t>
      </w:r>
      <w:proofErr w:type="spellEnd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";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ООО "</w:t>
      </w:r>
      <w:proofErr w:type="spellStart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Нанотех</w:t>
      </w:r>
      <w:proofErr w:type="spellEnd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5048035353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1155048001107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141504, Московская </w:t>
      </w:r>
      <w:proofErr w:type="spellStart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обл</w:t>
      </w:r>
      <w:proofErr w:type="spellEnd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, </w:t>
      </w:r>
      <w:proofErr w:type="spellStart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Солнечногорский</w:t>
      </w:r>
      <w:proofErr w:type="spellEnd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р-н, Солнечногорск г, </w:t>
      </w:r>
      <w:proofErr w:type="spellStart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Обуховская</w:t>
      </w:r>
      <w:proofErr w:type="spellEnd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</w:t>
      </w:r>
      <w:proofErr w:type="spellStart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ул</w:t>
      </w:r>
      <w:proofErr w:type="spellEnd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, дом № 9, корпус А, кв.6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Краткое описание (характеристика) поставленного сырья и товаров (работ, услуг): </w:t>
      </w:r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поставка </w:t>
      </w:r>
      <w:proofErr w:type="spellStart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полиола</w:t>
      </w:r>
      <w:proofErr w:type="spellEnd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, </w:t>
      </w:r>
      <w:proofErr w:type="spellStart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изоционата</w:t>
      </w:r>
      <w:proofErr w:type="spellEnd"/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, катализатора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Доля в общем объеме поставок сырья и (товаров, работ, услуг):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</w:t>
      </w:r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0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%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Поставщик является организацией, подконтрольной членам органов управления эмитента и (или) лицу, контролирующему эмитента: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нет.</w:t>
      </w:r>
    </w:p>
    <w:p w:rsidR="00AD76CC" w:rsidRPr="006A64C4" w:rsidRDefault="00AD76CC">
      <w:pPr>
        <w:spacing w:before="0" w:after="0"/>
        <w:ind w:firstLine="851"/>
        <w:jc w:val="both"/>
        <w:rPr>
          <w:b/>
          <w:i/>
        </w:rPr>
      </w:pP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Основные поставщики группы эмитента, объем и (или) доля поставок сырья и товаров (работ, услуг) приходящихся на поставщиков, входящих в группу эмитента, имеющих существенное значение - отсутствуют. </w:t>
      </w:r>
    </w:p>
    <w:p w:rsidR="00AD76CC" w:rsidRPr="000711F2" w:rsidRDefault="00AD76CC">
      <w:pPr>
        <w:spacing w:before="0" w:after="0"/>
        <w:ind w:firstLine="851"/>
        <w:jc w:val="both"/>
        <w:rPr>
          <w:b/>
          <w:i/>
        </w:rPr>
      </w:pPr>
    </w:p>
    <w:p w:rsidR="00AD76CC" w:rsidRPr="006A64C4" w:rsidRDefault="000711F2">
      <w:pPr>
        <w:spacing w:before="108" w:after="108"/>
        <w:jc w:val="center"/>
        <w:outlineLvl w:val="0"/>
      </w:pPr>
      <w:r w:rsidRPr="006A64C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1.6. Сведения об основных дебиторах эмитента </w:t>
      </w:r>
      <w:bookmarkStart w:id="7" w:name="sub_3216"/>
      <w:bookmarkEnd w:id="7"/>
    </w:p>
    <w:p w:rsidR="00AD76CC" w:rsidRPr="004C3576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Основные дебиторы эмитента, являющихся лицами, не входящими в группу эмитента (</w:t>
      </w:r>
      <w:proofErr w:type="spellStart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внешнегрупповые</w:t>
      </w:r>
      <w:proofErr w:type="spellEnd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 дебиторы) объем и (или) доля дебиторской задолженности, приходящихся </w:t>
      </w:r>
      <w:r w:rsidRPr="006A64C4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на дебиторов, входящих в группу эмитента, и на </w:t>
      </w:r>
      <w:proofErr w:type="spellStart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внешнегрупповх</w:t>
      </w:r>
      <w:proofErr w:type="spellEnd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 дебиторов,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значение.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b/>
          <w:i/>
          <w:sz w:val="24"/>
          <w:szCs w:val="24"/>
        </w:rPr>
        <w:t xml:space="preserve">Уровень существенности дебиторской задолженности, приходящейся на долю основного дебитора, определен в размере 10% от общей суммы дебиторской задолженности приходящейся на </w:t>
      </w:r>
      <w:proofErr w:type="spellStart"/>
      <w:r w:rsidRPr="006A64C4">
        <w:rPr>
          <w:b/>
          <w:i/>
          <w:sz w:val="24"/>
          <w:szCs w:val="24"/>
        </w:rPr>
        <w:t>внешнегшрупповых</w:t>
      </w:r>
      <w:proofErr w:type="spellEnd"/>
      <w:r w:rsidRPr="006A64C4">
        <w:rPr>
          <w:b/>
          <w:i/>
          <w:sz w:val="24"/>
          <w:szCs w:val="24"/>
        </w:rPr>
        <w:t xml:space="preserve"> дебиторов и составляет 2</w:t>
      </w:r>
      <w:r w:rsidR="006A64C4" w:rsidRPr="006A64C4">
        <w:rPr>
          <w:b/>
          <w:i/>
          <w:sz w:val="24"/>
          <w:szCs w:val="24"/>
        </w:rPr>
        <w:t xml:space="preserve">20 854 </w:t>
      </w:r>
      <w:proofErr w:type="gramStart"/>
      <w:r w:rsidR="006A64C4" w:rsidRPr="006A64C4">
        <w:rPr>
          <w:b/>
          <w:i/>
          <w:sz w:val="24"/>
          <w:szCs w:val="24"/>
        </w:rPr>
        <w:t>400</w:t>
      </w:r>
      <w:r w:rsidRPr="006A64C4">
        <w:rPr>
          <w:rFonts w:ascii="Times New Roman CYR" w:hAnsi="Times New Roman CYR" w:cs="Times New Roman CYR"/>
          <w:b/>
          <w:i/>
          <w:sz w:val="24"/>
          <w:szCs w:val="24"/>
        </w:rPr>
        <w:t xml:space="preserve"> </w:t>
      </w:r>
      <w:r w:rsidRPr="006A64C4">
        <w:rPr>
          <w:b/>
          <w:i/>
          <w:sz w:val="24"/>
          <w:szCs w:val="24"/>
        </w:rPr>
        <w:t xml:space="preserve"> руб.</w:t>
      </w:r>
      <w:proofErr w:type="gramEnd"/>
      <w:r w:rsidRPr="006A64C4">
        <w:rPr>
          <w:b/>
          <w:i/>
          <w:sz w:val="24"/>
          <w:szCs w:val="24"/>
        </w:rPr>
        <w:t xml:space="preserve"> по состоянию на дату окончания отчетного периода. </w:t>
      </w:r>
    </w:p>
    <w:p w:rsidR="00AD76CC" w:rsidRPr="004C3576" w:rsidRDefault="00AD76CC">
      <w:pPr>
        <w:spacing w:before="0" w:after="0"/>
        <w:jc w:val="both"/>
        <w:rPr>
          <w:sz w:val="24"/>
          <w:szCs w:val="24"/>
          <w:highlight w:val="yellow"/>
        </w:rPr>
      </w:pPr>
    </w:p>
    <w:p w:rsidR="00AD76CC" w:rsidRPr="006A64C4" w:rsidRDefault="000711F2">
      <w:pPr>
        <w:pStyle w:val="af9"/>
        <w:numPr>
          <w:ilvl w:val="0"/>
          <w:numId w:val="3"/>
        </w:numPr>
        <w:spacing w:before="0" w:after="0"/>
        <w:ind w:left="0"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Публичное акционерное общество «Магнитогорский металлургический комбинат»;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ПАО «ММК»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7414003633;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1027402166835;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455002, Челябинская область, г. Магнитогорск, ул. Кирова, 93;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Сумма дебиторской задолженности: </w:t>
      </w:r>
      <w:r w:rsidR="006A64C4" w:rsidRPr="006A64C4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 xml:space="preserve">1 075 249 428,51 </w:t>
      </w:r>
      <w:r w:rsidRPr="006A64C4">
        <w:rPr>
          <w:rFonts w:ascii="Times New Roman CYR" w:eastAsia="Times New Roman" w:hAnsi="Times New Roman CYR" w:cs="Times New Roman CYR"/>
          <w:b/>
          <w:bCs/>
          <w:i/>
          <w:iCs/>
          <w:kern w:val="0"/>
          <w:sz w:val="24"/>
          <w:szCs w:val="24"/>
          <w:lang w:eastAsia="ru-RU" w:bidi="ar-SA"/>
        </w:rPr>
        <w:t>рублей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Доля основного дебитора в объеме дебиторской задолженности: </w:t>
      </w:r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18</w:t>
      </w:r>
      <w:r w:rsidRPr="006A64C4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,</w:t>
      </w:r>
      <w:r w:rsidR="006A64C4" w:rsidRPr="006A64C4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69</w:t>
      </w:r>
      <w:r w:rsidRPr="006A64C4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%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дебиторской задолженности: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отсутствует в договоре;</w:t>
      </w: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просроченной дебиторской задолженности нет.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Дебитор является организацией, подконтрольной членам органов управления эмитента и (или) лицу, контролирующему эмитента: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</w:t>
      </w:r>
    </w:p>
    <w:p w:rsidR="00AD76CC" w:rsidRPr="004C3576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6A64C4" w:rsidRDefault="000711F2">
      <w:pPr>
        <w:pStyle w:val="af9"/>
        <w:numPr>
          <w:ilvl w:val="0"/>
          <w:numId w:val="3"/>
        </w:numPr>
        <w:spacing w:before="0" w:after="0"/>
        <w:ind w:left="0"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Общество с ограниченной ответственностью "Электрощит-</w:t>
      </w:r>
      <w:proofErr w:type="spellStart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Стройсистема</w:t>
      </w:r>
      <w:proofErr w:type="spellEnd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ООО "Электрощит-</w:t>
      </w:r>
      <w:proofErr w:type="spellStart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Стройсистема</w:t>
      </w:r>
      <w:proofErr w:type="spellEnd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6313553082;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1176313036712;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443048, Самарская область, город Самара, поселок Красная Глинка, </w:t>
      </w:r>
      <w:proofErr w:type="spellStart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Красноглинское</w:t>
      </w:r>
      <w:proofErr w:type="spellEnd"/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шоссе, дом № 20, помещение 1;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Сумма дебиторской задолженности: </w:t>
      </w:r>
      <w:r w:rsidR="006A64C4" w:rsidRPr="006A64C4">
        <w:rPr>
          <w:rFonts w:ascii="Times New Roman CYR" w:eastAsia="Times New Roman" w:hAnsi="Times New Roman CYR" w:cs="Times New Roman CYR"/>
          <w:b/>
          <w:i/>
          <w:kern w:val="0"/>
          <w:sz w:val="24"/>
          <w:szCs w:val="24"/>
          <w:lang w:eastAsia="ru-RU" w:bidi="ar-SA"/>
        </w:rPr>
        <w:t xml:space="preserve">387 441 532,23 </w:t>
      </w:r>
      <w:r w:rsidRPr="006A64C4">
        <w:rPr>
          <w:rFonts w:ascii="Times New Roman CYR" w:eastAsia="Times New Roman" w:hAnsi="Times New Roman CYR" w:cs="Times New Roman CYR"/>
          <w:b/>
          <w:i/>
          <w:kern w:val="0"/>
          <w:sz w:val="24"/>
          <w:szCs w:val="24"/>
          <w:lang w:eastAsia="ru-RU" w:bidi="ar-SA"/>
        </w:rPr>
        <w:t>рублей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Доля основного дебитора в объеме дебиторской задолженности: </w:t>
      </w:r>
      <w:r w:rsidR="006A64C4"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17</w:t>
      </w:r>
      <w:r w:rsidRPr="006A64C4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,5</w:t>
      </w:r>
      <w:r w:rsidR="006A64C4" w:rsidRPr="006A64C4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4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%</w:t>
      </w:r>
    </w:p>
    <w:p w:rsidR="00AD76CC" w:rsidRPr="006A64C4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дебиторской задолженности: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0,1% в день, но не более 10% от суммы долга; просроченной дебиторской задолженности нет.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Дебитор является организацией, подконтрольной членам органов управления эмитента и (или) лицу, контролирующему эмитента: </w:t>
      </w: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Нет.</w:t>
      </w:r>
    </w:p>
    <w:p w:rsidR="006A64C4" w:rsidRPr="006A64C4" w:rsidRDefault="006A64C4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Pr="000711F2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Основные дебиторы эмитента, являющихся лицами, входящими в группу эмитента,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- отсутствуют.</w:t>
      </w:r>
    </w:p>
    <w:p w:rsidR="00AD76CC" w:rsidRPr="000711F2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6A64C4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6A64C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1.7. Сведения об обязательствах эмитента</w:t>
      </w:r>
      <w:bookmarkStart w:id="8" w:name="sub_3217"/>
      <w:bookmarkEnd w:id="8"/>
    </w:p>
    <w:p w:rsidR="00AD76CC" w:rsidRPr="006A64C4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6A64C4" w:rsidRDefault="000711F2">
      <w:pPr>
        <w:spacing w:before="108" w:after="108"/>
        <w:jc w:val="center"/>
        <w:outlineLvl w:val="0"/>
      </w:pPr>
      <w:r w:rsidRPr="006A64C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1.7.1. Сведения об основных кредиторах эмитента </w:t>
      </w:r>
      <w:bookmarkStart w:id="9" w:name="sub_32171"/>
      <w:bookmarkEnd w:id="9"/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Основные кредиторы эмитента, являющихся лицами, не входящими в группу эмитента (</w:t>
      </w:r>
      <w:proofErr w:type="spellStart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>внешнегрупповые</w:t>
      </w:r>
      <w:proofErr w:type="spellEnd"/>
      <w:r w:rsidRPr="006A64C4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кредиторы) доля задолженности которым в объеме кредиторской задолженности эмитента (включая торговую кредиторскую задолженность, прочую кредиторскую задолженность, кредиты и займы (краткосрочные, долгосрочные) на дату окончания соответствующего отчетного периода имеет существенное значение.</w:t>
      </w:r>
    </w:p>
    <w:p w:rsidR="00AD76CC" w:rsidRPr="006A64C4" w:rsidRDefault="000711F2">
      <w:pPr>
        <w:spacing w:before="0" w:after="0"/>
        <w:ind w:firstLine="851"/>
        <w:jc w:val="both"/>
      </w:pPr>
      <w:r w:rsidRPr="006A64C4">
        <w:rPr>
          <w:b/>
          <w:i/>
          <w:sz w:val="24"/>
          <w:szCs w:val="24"/>
        </w:rPr>
        <w:t xml:space="preserve">Уровень существенности кредиторской задолженности, приходящейся на долю основного кредитора, определен в размере 10% от суммы кредиторской задолженности, приходящейся на </w:t>
      </w:r>
      <w:proofErr w:type="spellStart"/>
      <w:r w:rsidRPr="006A64C4">
        <w:rPr>
          <w:b/>
          <w:i/>
          <w:sz w:val="24"/>
          <w:szCs w:val="24"/>
        </w:rPr>
        <w:t>внешнегрупповых</w:t>
      </w:r>
      <w:proofErr w:type="spellEnd"/>
      <w:r w:rsidRPr="006A64C4">
        <w:rPr>
          <w:b/>
          <w:i/>
          <w:sz w:val="24"/>
          <w:szCs w:val="24"/>
        </w:rPr>
        <w:t xml:space="preserve"> кредиторов и составляет </w:t>
      </w:r>
      <w:r w:rsidR="006A64C4" w:rsidRPr="006A64C4">
        <w:rPr>
          <w:b/>
          <w:i/>
          <w:sz w:val="24"/>
          <w:szCs w:val="24"/>
        </w:rPr>
        <w:t>287 832 400</w:t>
      </w:r>
      <w:r w:rsidR="006A64C4" w:rsidRPr="006A64C4">
        <w:rPr>
          <w:rFonts w:ascii="Times New Roman CYR" w:hAnsi="Times New Roman CYR" w:cs="Times New Roman CYR"/>
          <w:b/>
          <w:i/>
          <w:sz w:val="24"/>
          <w:szCs w:val="24"/>
        </w:rPr>
        <w:t xml:space="preserve"> </w:t>
      </w:r>
      <w:r w:rsidRPr="006A64C4">
        <w:rPr>
          <w:b/>
          <w:i/>
          <w:sz w:val="24"/>
          <w:szCs w:val="24"/>
        </w:rPr>
        <w:t xml:space="preserve">руб. по состоянию на дату окончания отчетного периода. </w:t>
      </w:r>
    </w:p>
    <w:p w:rsidR="00AD76CC" w:rsidRPr="004C3576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8756FF" w:rsidRDefault="000711F2">
      <w:pPr>
        <w:pStyle w:val="af9"/>
        <w:numPr>
          <w:ilvl w:val="0"/>
          <w:numId w:val="1"/>
        </w:numPr>
        <w:spacing w:before="0" w:after="0"/>
        <w:ind w:firstLine="851"/>
        <w:jc w:val="both"/>
      </w:pP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1. </w:t>
      </w: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Общество с ограниченной ответственностью " Электрощит-</w:t>
      </w:r>
      <w:proofErr w:type="spellStart"/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Стройсистема</w:t>
      </w:r>
      <w:proofErr w:type="spellEnd"/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";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Сокращенное фирменное наименование: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ООО "Электрощит-</w:t>
      </w:r>
      <w:proofErr w:type="spellStart"/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Стройсистема</w:t>
      </w:r>
      <w:proofErr w:type="spellEnd"/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"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Идентификационный номер налогоплательщика (ИНН):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6313553082;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Основной государственный регистрационный номер (ОГРН):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1176313036712;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Место нахождения: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443048, Самарская область, город Самара, поселок Красная Глинка, </w:t>
      </w:r>
      <w:proofErr w:type="spellStart"/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Красноглинское</w:t>
      </w:r>
      <w:proofErr w:type="spellEnd"/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 шоссе, дом № 20, помещение 1;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Сумма кредиторской задолженности: </w:t>
      </w:r>
      <w:r w:rsidR="008756FF"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791 226 190,26 рублей (в том числе: Сумма торговой кредиторской задолженности: 465 126 190,26 </w:t>
      </w:r>
      <w:r w:rsidR="008756FF" w:rsidRPr="008756FF">
        <w:rPr>
          <w:rFonts w:ascii="Times New Roman CYR" w:eastAsia="Times New Roman" w:hAnsi="Times New Roman CYR" w:cs="Times New Roman CYR"/>
          <w:b/>
          <w:i/>
          <w:color w:val="000000"/>
          <w:kern w:val="0"/>
          <w:sz w:val="24"/>
          <w:szCs w:val="24"/>
          <w:lang w:eastAsia="ru-RU" w:bidi="ar-SA"/>
        </w:rPr>
        <w:t xml:space="preserve">рублей; </w:t>
      </w:r>
      <w:r w:rsidR="008756FF"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Сумма кредиторской задолженности по займам: </w:t>
      </w:r>
      <w:r w:rsidR="008756FF" w:rsidRPr="008756FF">
        <w:rPr>
          <w:rFonts w:ascii="Times New Roman CYR" w:eastAsia="Times New Roman" w:hAnsi="Times New Roman CYR" w:cs="Times New Roman CYR"/>
          <w:b/>
          <w:i/>
          <w:color w:val="000000"/>
          <w:kern w:val="0"/>
          <w:sz w:val="24"/>
          <w:szCs w:val="24"/>
          <w:lang w:eastAsia="ru-RU" w:bidi="ar-SA"/>
        </w:rPr>
        <w:t>326 100 000 рублей)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kern w:val="0"/>
          <w:sz w:val="24"/>
          <w:szCs w:val="24"/>
          <w:lang w:eastAsia="ru-RU" w:bidi="ar-SA"/>
        </w:rPr>
        <w:t>;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Доля </w:t>
      </w:r>
      <w:proofErr w:type="spellStart"/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внешнегруппового</w:t>
      </w:r>
      <w:proofErr w:type="spellEnd"/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кредитора в объеме кредиторской задолженности, приходящейся на </w:t>
      </w:r>
      <w:proofErr w:type="spellStart"/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внешнегрупповых</w:t>
      </w:r>
      <w:proofErr w:type="spellEnd"/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кредиторов: </w:t>
      </w:r>
      <w:r w:rsidR="008756FF"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27,49</w:t>
      </w:r>
      <w:r w:rsidR="008756FF" w:rsidRPr="008756FF">
        <w:rPr>
          <w:rFonts w:ascii="Times New Roman CYR" w:eastAsia="Times New Roman" w:hAnsi="Times New Roman CYR" w:cs="Times New Roman CYR"/>
          <w:b/>
          <w:i/>
          <w:color w:val="000000"/>
          <w:kern w:val="0"/>
          <w:sz w:val="24"/>
          <w:szCs w:val="24"/>
          <w:lang w:eastAsia="ru-RU" w:bidi="ar-SA"/>
        </w:rPr>
        <w:t>%;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Размер и условия (процентная ставка, размер неустойки) просроченной кредиторской задолженности: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0,1% в день, но не более 10% от сумму задолженности; 0%; простроченной кредиторской задолженности нет. 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Дата заключения кредитного договора (договора займа):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14.12.2020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Дата прекращения кредитного договора (договора займа), в том числе в связи с его исполнением: </w:t>
      </w:r>
      <w:r w:rsidR="00165D34"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31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.12.202</w:t>
      </w:r>
      <w:r w:rsidR="00165D34"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3</w:t>
      </w:r>
    </w:p>
    <w:p w:rsidR="00AD76CC" w:rsidRPr="008756FF" w:rsidRDefault="000711F2">
      <w:pPr>
        <w:spacing w:before="0" w:after="0"/>
        <w:ind w:firstLine="851"/>
        <w:jc w:val="both"/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кредитор является организацией, подконтрольной членам органов управления эмитента и (или) лицу, контролирующему эмитента: </w:t>
      </w:r>
      <w:r w:rsidRPr="008756FF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Нет</w:t>
      </w:r>
    </w:p>
    <w:p w:rsidR="00AD76CC" w:rsidRPr="004C3576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8756FF" w:rsidRDefault="008756FF">
      <w:pPr>
        <w:pStyle w:val="af9"/>
        <w:spacing w:before="0" w:after="0"/>
        <w:jc w:val="both"/>
      </w:pPr>
      <w:r w:rsidRPr="008756FF">
        <w:rPr>
          <w:rFonts w:ascii="Times New Roman CYR" w:eastAsia="Times New Roman" w:hAnsi="Times New Roman CYR" w:cs="Times New Roman CYR"/>
          <w:b/>
          <w:color w:val="FF0000"/>
          <w:sz w:val="24"/>
          <w:szCs w:val="24"/>
        </w:rPr>
        <w:t xml:space="preserve">   </w:t>
      </w:r>
      <w:r w:rsidR="000711F2" w:rsidRPr="008756FF"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>2.</w:t>
      </w:r>
      <w:r w:rsidR="000711F2"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Полное фирменное наименование: </w:t>
      </w:r>
      <w:r w:rsidR="000711F2"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Небанковская кредитная организация Акционерное общество " Национальный расчетный депозитарий"</w:t>
      </w:r>
    </w:p>
    <w:p w:rsidR="00AD76CC" w:rsidRPr="008756FF" w:rsidRDefault="000711F2">
      <w:pPr>
        <w:pStyle w:val="af9"/>
        <w:spacing w:before="0" w:after="0"/>
        <w:ind w:left="0" w:firstLine="851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Сокращенное фирменное наименование: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НКО АО «НРД»</w:t>
      </w:r>
    </w:p>
    <w:p w:rsidR="00AD76CC" w:rsidRPr="008756F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Идентификационный номер налогоплательщика (ИНН):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7702165310</w:t>
      </w:r>
    </w:p>
    <w:p w:rsidR="00AD76CC" w:rsidRPr="008756F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Основной государственный регистрационный номер (ОГРН):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1027739132563;</w:t>
      </w:r>
    </w:p>
    <w:p w:rsidR="00AD76CC" w:rsidRPr="008756F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Место нахождения: </w:t>
      </w:r>
      <w:r w:rsidRPr="008756FF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  <w:t>105066, г. Москва, ул. Спартаковская, дом 12</w:t>
      </w: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;</w:t>
      </w:r>
    </w:p>
    <w:p w:rsidR="00AD76CC" w:rsidRPr="008756FF" w:rsidRDefault="000711F2">
      <w:pPr>
        <w:spacing w:before="0" w:after="0"/>
        <w:ind w:firstLine="851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Сумма кредиторской задолженности: </w:t>
      </w:r>
      <w:r w:rsidR="008756FF"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508 219 780,26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рублей</w:t>
      </w:r>
    </w:p>
    <w:p w:rsidR="00AD76CC" w:rsidRPr="008756F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Дата заключения кредитного договора (договора займа):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07.05.2018</w:t>
      </w:r>
    </w:p>
    <w:p w:rsidR="00AD76CC" w:rsidRPr="008756F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Дата прекращения кредитного договора (договора займа): </w:t>
      </w: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08.05.2025</w:t>
      </w:r>
    </w:p>
    <w:p w:rsidR="00AD76CC" w:rsidRPr="008756F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кредиторской задолженности: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облигационный </w:t>
      </w:r>
      <w:proofErr w:type="spellStart"/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займ</w:t>
      </w:r>
      <w:proofErr w:type="spellEnd"/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12%; простроченной кредиторской задолженности нет.</w:t>
      </w: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8756FF" w:rsidRPr="008756FF" w:rsidRDefault="000711F2" w:rsidP="008756FF">
      <w:pPr>
        <w:spacing w:before="0" w:after="0"/>
        <w:ind w:firstLine="851"/>
        <w:jc w:val="both"/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Доля основного кредитора в объеме кредиторской задолженности: </w:t>
      </w:r>
      <w:r w:rsidR="008756FF" w:rsidRPr="008756FF"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17</w:t>
      </w:r>
      <w:r w:rsidR="008756FF" w:rsidRPr="008756FF">
        <w:rPr>
          <w:rFonts w:ascii="Times New Roman CYR" w:eastAsia="Times New Roman" w:hAnsi="Times New Roman CYR" w:cs="Times New Roman CYR"/>
          <w:b/>
          <w:bCs/>
          <w:i/>
          <w:kern w:val="0"/>
          <w:sz w:val="24"/>
          <w:szCs w:val="24"/>
          <w:lang w:eastAsia="ru-RU" w:bidi="ar-SA"/>
        </w:rPr>
        <w:t>,66%;</w:t>
      </w:r>
    </w:p>
    <w:p w:rsidR="00AD76CC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Поставщик является организацией, подконтрольной членам органов управления эмитента и (или) лицу, контролирующему эмитента: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</w:t>
      </w:r>
    </w:p>
    <w:p w:rsidR="008756FF" w:rsidRDefault="008756FF" w:rsidP="008756FF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</w:rPr>
      </w:pPr>
    </w:p>
    <w:p w:rsidR="008756FF" w:rsidRPr="008756FF" w:rsidRDefault="008756FF" w:rsidP="008756FF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b/>
          <w:sz w:val="24"/>
          <w:szCs w:val="24"/>
        </w:rPr>
        <w:t>3.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ab/>
      </w:r>
      <w:r w:rsidRPr="008756FF">
        <w:rPr>
          <w:rFonts w:ascii="Times New Roman CYR" w:eastAsia="Times New Roman" w:hAnsi="Times New Roman CYR" w:cs="Times New Roman CYR"/>
          <w:sz w:val="24"/>
          <w:szCs w:val="24"/>
        </w:rPr>
        <w:t>Полное фирменное наименование: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Публичное акционерное общество «Магнитогорский металлургический комбинат»;</w:t>
      </w:r>
    </w:p>
    <w:p w:rsidR="008756FF" w:rsidRPr="008756FF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>Сокращенное фирменное наименование: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ПАО «ММК»;</w:t>
      </w:r>
    </w:p>
    <w:p w:rsidR="008756FF" w:rsidRPr="008756FF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>Идентификационный номер налогоплательщика (ИНН):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7414003633;</w:t>
      </w:r>
    </w:p>
    <w:p w:rsidR="008756FF" w:rsidRPr="008756FF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1027402166835;</w:t>
      </w:r>
    </w:p>
    <w:p w:rsidR="008756FF" w:rsidRPr="008756FF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455002, Челябинская область, г. Магнитогорск, ул. Кирова, 93;</w:t>
      </w:r>
    </w:p>
    <w:p w:rsidR="008756FF" w:rsidRPr="008756FF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Сумма кредиторской задолженности: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374 654 457,48 рублей;</w:t>
      </w:r>
    </w:p>
    <w:p w:rsidR="008756FF" w:rsidRPr="008756FF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Доля основного дебитора в объеме дебиторской задолженности: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13,02%;</w:t>
      </w:r>
    </w:p>
    <w:p w:rsidR="008756FF" w:rsidRPr="008756FF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кредиторской задолженности: отсутствует в договоре; просроченной кредиторской задолженности </w:t>
      </w:r>
      <w:proofErr w:type="gramStart"/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</w:t>
      </w:r>
      <w:proofErr w:type="gramEnd"/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8756FF" w:rsidRPr="008756FF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Кредитор является организацией, подконтрольной членам органов управления эмитента и (или) лицу, контролирующему эмитента: </w:t>
      </w: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Нет.</w:t>
      </w:r>
    </w:p>
    <w:p w:rsidR="008756FF" w:rsidRPr="008756FF" w:rsidRDefault="008756FF" w:rsidP="008756FF">
      <w:pPr>
        <w:tabs>
          <w:tab w:val="left" w:pos="6248"/>
        </w:tabs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ab/>
      </w:r>
    </w:p>
    <w:p w:rsidR="00AD76CC" w:rsidRPr="008756F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8756FF" w:rsidRDefault="00165D34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Кредиторской задолженности,</w:t>
      </w:r>
      <w:r w:rsidR="000711F2"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приходящейся на кредиторов, входящих в группу эмитента имеющей существенное значение на дату окончания соответствующего отчетного периода - нет.</w:t>
      </w:r>
    </w:p>
    <w:p w:rsidR="00AD76CC" w:rsidRPr="008756FF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</w:rPr>
        <w:lastRenderedPageBreak/>
        <w:t>1.7.2. Сведения об обязательствах эмитента из предоставленного обеспечения</w:t>
      </w:r>
      <w:bookmarkStart w:id="10" w:name="sub_32172"/>
      <w:bookmarkEnd w:id="10"/>
    </w:p>
    <w:p w:rsidR="00AD76CC" w:rsidRPr="008756F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</w:pPr>
    </w:p>
    <w:p w:rsidR="00AD76CC" w:rsidRPr="008756FF" w:rsidRDefault="000711F2">
      <w:pPr>
        <w:spacing w:before="0" w:after="0"/>
        <w:ind w:firstLine="709"/>
        <w:jc w:val="both"/>
        <w:rPr>
          <w:color w:val="000000"/>
        </w:rPr>
      </w:pP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Сведения о размере обеспечения (в том числе в форме залога, поручительства, независимой гарантии), предоставленного лицами, входящими в группу эмитента, иным лицам, входящим в группу эмитента, и лицам, не входящим в нее, а также о совершенных эмитентом (организациями, входящими в группу эмитента) сделках по предоставлению такого обеспечения, имеющих для эмитента (группы эмитента) существенное значение. </w:t>
      </w:r>
    </w:p>
    <w:p w:rsidR="00AD76CC" w:rsidRPr="008756FF" w:rsidRDefault="00AD76C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</w:pPr>
    </w:p>
    <w:p w:rsidR="00AD76CC" w:rsidRPr="008756FF" w:rsidRDefault="000711F2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Единица измерения: </w:t>
      </w:r>
      <w:proofErr w:type="spellStart"/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тыс.руб</w:t>
      </w:r>
      <w:proofErr w:type="spellEnd"/>
      <w:r w:rsidRPr="008756FF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.</w:t>
      </w:r>
    </w:p>
    <w:p w:rsidR="00AD76CC" w:rsidRPr="004C3576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tbl>
      <w:tblPr>
        <w:tblW w:w="9252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411"/>
        <w:gridCol w:w="1841"/>
      </w:tblGrid>
      <w:tr w:rsidR="00AD76CC" w:rsidRPr="002630BE">
        <w:tc>
          <w:tcPr>
            <w:tcW w:w="74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2630BE" w:rsidRDefault="000711F2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630BE">
              <w:rPr>
                <w:rFonts w:cs="Times New Roman"/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2630BE" w:rsidRDefault="000711F2" w:rsidP="002630BE">
            <w:pPr>
              <w:jc w:val="center"/>
            </w:pPr>
            <w:r w:rsidRPr="002630BE">
              <w:rPr>
                <w:rFonts w:cs="Times New Roman"/>
                <w:b/>
                <w:i/>
                <w:sz w:val="24"/>
                <w:szCs w:val="24"/>
              </w:rPr>
              <w:t>На 3</w:t>
            </w:r>
            <w:r w:rsidR="002630BE" w:rsidRPr="002630BE">
              <w:rPr>
                <w:rFonts w:cs="Times New Roman"/>
                <w:b/>
                <w:i/>
                <w:sz w:val="24"/>
                <w:szCs w:val="24"/>
              </w:rPr>
              <w:t>0</w:t>
            </w:r>
            <w:r w:rsidRPr="002630BE">
              <w:rPr>
                <w:rFonts w:cs="Times New Roman"/>
                <w:b/>
                <w:i/>
                <w:sz w:val="24"/>
                <w:szCs w:val="24"/>
              </w:rPr>
              <w:t>.</w:t>
            </w:r>
            <w:r w:rsidR="002630BE" w:rsidRPr="002630BE">
              <w:rPr>
                <w:rFonts w:cs="Times New Roman"/>
                <w:b/>
                <w:i/>
                <w:sz w:val="24"/>
                <w:szCs w:val="24"/>
              </w:rPr>
              <w:t>06</w:t>
            </w:r>
            <w:r w:rsidRPr="002630BE">
              <w:rPr>
                <w:rFonts w:cs="Times New Roman"/>
                <w:b/>
                <w:i/>
                <w:sz w:val="24"/>
                <w:szCs w:val="24"/>
              </w:rPr>
              <w:t>.202</w:t>
            </w:r>
            <w:r w:rsidR="002630BE" w:rsidRPr="002630BE">
              <w:rPr>
                <w:rFonts w:cs="Times New Roman"/>
                <w:b/>
                <w:i/>
                <w:sz w:val="24"/>
                <w:szCs w:val="24"/>
              </w:rPr>
              <w:t>3</w:t>
            </w:r>
            <w:r w:rsidRPr="002630BE">
              <w:rPr>
                <w:rFonts w:cs="Times New Roman"/>
                <w:b/>
                <w:i/>
                <w:sz w:val="24"/>
                <w:szCs w:val="24"/>
              </w:rPr>
              <w:t>г.</w:t>
            </w:r>
          </w:p>
        </w:tc>
      </w:tr>
      <w:tr w:rsidR="00AD76CC" w:rsidRPr="002630BE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2630BE" w:rsidRDefault="000711F2">
            <w:r w:rsidRPr="002630BE">
              <w:rPr>
                <w:rFonts w:cs="Times New Roman"/>
                <w:b/>
                <w:i/>
                <w:sz w:val="24"/>
                <w:szCs w:val="24"/>
              </w:rPr>
              <w:t>размер обеспечения, предоставленного лицами, входящими в группу эмитента, лицам, не входящим в группу эмитента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2630BE" w:rsidRDefault="004966CF">
            <w:pPr>
              <w:jc w:val="center"/>
            </w:pPr>
            <w:r w:rsidRPr="002630BE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D76CC" w:rsidRPr="002630BE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2630BE" w:rsidRDefault="000711F2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2630BE">
              <w:rPr>
                <w:rFonts w:cs="Times New Roman"/>
                <w:b/>
                <w:i/>
                <w:sz w:val="24"/>
                <w:szCs w:val="24"/>
              </w:rPr>
              <w:t>- в том числе в форме залога: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2630BE" w:rsidRDefault="004966CF">
            <w:pPr>
              <w:jc w:val="center"/>
            </w:pPr>
            <w:r w:rsidRPr="002630BE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AD76CC" w:rsidRPr="002630BE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2630BE" w:rsidRDefault="000711F2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2630BE">
              <w:rPr>
                <w:rFonts w:cs="Times New Roman"/>
                <w:b/>
                <w:i/>
                <w:sz w:val="24"/>
                <w:szCs w:val="24"/>
              </w:rPr>
              <w:t>- в том числе в форме поручительства: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2630BE" w:rsidRDefault="000711F2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630BE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4966CF" w:rsidRPr="002630BE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2630BE" w:rsidRDefault="000711F2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2630BE">
              <w:rPr>
                <w:rFonts w:cs="Times New Roman"/>
                <w:b/>
                <w:i/>
                <w:sz w:val="24"/>
                <w:szCs w:val="24"/>
              </w:rPr>
              <w:t>- в том числе в форме независимой гарантии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2630BE" w:rsidRDefault="000711F2">
            <w:pPr>
              <w:jc w:val="center"/>
            </w:pPr>
            <w:r w:rsidRPr="002630BE">
              <w:rPr>
                <w:rFonts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</w:tr>
    </w:tbl>
    <w:p w:rsidR="00AD76CC" w:rsidRPr="002630B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p w:rsidR="00AD76CC" w:rsidRPr="002630BE" w:rsidRDefault="000711F2">
      <w:pPr>
        <w:spacing w:before="0" w:after="0"/>
        <w:ind w:firstLine="709"/>
        <w:jc w:val="both"/>
        <w:rPr>
          <w:color w:val="000000"/>
        </w:rPr>
      </w:pPr>
      <w:r w:rsidRPr="002630BE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 xml:space="preserve">Единица измерения: </w:t>
      </w:r>
      <w:proofErr w:type="spellStart"/>
      <w:r w:rsidRPr="002630BE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тыс.руб</w:t>
      </w:r>
      <w:proofErr w:type="spellEnd"/>
      <w:r w:rsidRPr="002630BE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.</w:t>
      </w:r>
    </w:p>
    <w:p w:rsidR="00AD76CC" w:rsidRPr="002630B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tbl>
      <w:tblPr>
        <w:tblW w:w="9252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411"/>
        <w:gridCol w:w="1841"/>
      </w:tblGrid>
      <w:tr w:rsidR="00AD76CC" w:rsidRPr="002630BE" w:rsidTr="002630BE">
        <w:tc>
          <w:tcPr>
            <w:tcW w:w="74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2630BE" w:rsidRDefault="000711F2">
            <w:pPr>
              <w:jc w:val="center"/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2630BE" w:rsidRDefault="000711F2" w:rsidP="002630BE">
            <w:pPr>
              <w:jc w:val="center"/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На 3</w:t>
            </w:r>
            <w:r w:rsidR="002630BE"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0</w:t>
            </w: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2630BE"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06</w:t>
            </w: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.202</w:t>
            </w:r>
            <w:r w:rsidR="002630BE"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г.</w:t>
            </w:r>
          </w:p>
        </w:tc>
      </w:tr>
      <w:tr w:rsidR="002630BE" w:rsidRPr="002630BE" w:rsidTr="002630BE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0BE" w:rsidRPr="002630BE" w:rsidRDefault="002630BE" w:rsidP="002630BE">
            <w:pPr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 xml:space="preserve">размер обеспечения, предоставленного лицами, входящими в группу эмитента, </w:t>
            </w:r>
            <w:r w:rsidRPr="002630BE">
              <w:rPr>
                <w:rFonts w:ascii="Times New Roman CYR" w:eastAsia="Times New Roman" w:hAnsi="Times New Roman CYR" w:cs="Times New Roman CYR"/>
                <w:b/>
                <w:i/>
                <w:color w:val="000000"/>
                <w:sz w:val="24"/>
                <w:szCs w:val="24"/>
              </w:rPr>
              <w:t>иным лицам, входящим в группу эмитента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630BE" w:rsidRPr="002630BE" w:rsidRDefault="002630BE" w:rsidP="002630BE">
            <w:pPr>
              <w:jc w:val="center"/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  <w:lang w:val="en-US"/>
              </w:rPr>
              <w:t>557 394</w:t>
            </w:r>
          </w:p>
        </w:tc>
      </w:tr>
      <w:tr w:rsidR="002630BE" w:rsidRPr="002630BE" w:rsidTr="002630BE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0BE" w:rsidRPr="002630BE" w:rsidRDefault="002630BE" w:rsidP="002630BE">
            <w:pPr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- в том числе в форме залога: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630BE" w:rsidRPr="002630BE" w:rsidRDefault="002630BE" w:rsidP="002630BE">
            <w:pPr>
              <w:jc w:val="center"/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  <w:lang w:val="en-US"/>
              </w:rPr>
              <w:t>257 394</w:t>
            </w:r>
          </w:p>
        </w:tc>
      </w:tr>
      <w:tr w:rsidR="002630BE" w:rsidRPr="002630BE" w:rsidTr="002630BE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0BE" w:rsidRPr="002630BE" w:rsidRDefault="002630BE" w:rsidP="002630BE">
            <w:pPr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- в том числе в форме поручительства: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630BE" w:rsidRPr="002630BE" w:rsidRDefault="002630BE" w:rsidP="002630BE">
            <w:pPr>
              <w:jc w:val="center"/>
              <w:rPr>
                <w:color w:val="000000"/>
                <w:lang w:val="en-US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  <w:lang w:val="en-US"/>
              </w:rPr>
              <w:t>300 000</w:t>
            </w:r>
          </w:p>
        </w:tc>
      </w:tr>
      <w:tr w:rsidR="002630BE" w:rsidRPr="002630BE" w:rsidTr="002630BE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2630BE" w:rsidRPr="002630BE" w:rsidRDefault="002630BE" w:rsidP="002630BE">
            <w:pPr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- в том числе в форме независимой гарантии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630BE" w:rsidRPr="002630BE" w:rsidRDefault="002630BE" w:rsidP="002630BE">
            <w:pPr>
              <w:jc w:val="center"/>
              <w:rPr>
                <w:color w:val="000000"/>
              </w:rPr>
            </w:pPr>
            <w:r w:rsidRPr="002630BE">
              <w:rPr>
                <w:rFonts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</w:tbl>
    <w:p w:rsidR="00AD76CC" w:rsidRPr="002630B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p w:rsidR="00AD76CC" w:rsidRPr="008756FF" w:rsidRDefault="000711F2">
      <w:pPr>
        <w:spacing w:before="0" w:after="0"/>
        <w:ind w:firstLine="709"/>
        <w:jc w:val="both"/>
        <w:rPr>
          <w:color w:val="000000"/>
        </w:rPr>
      </w:pPr>
      <w:r w:rsidRPr="008756FF">
        <w:rPr>
          <w:b/>
          <w:i/>
          <w:color w:val="000000"/>
          <w:sz w:val="24"/>
          <w:szCs w:val="24"/>
        </w:rPr>
        <w:t>Эмитентом определен уровень существенности размера предоставленного обеспечения в размере 10 процентов от размера обеспечения, предоставленного организациями, входящими в группу эмитента, лицам, не входящим в группу эмитента.</w:t>
      </w:r>
    </w:p>
    <w:p w:rsidR="00AD76CC" w:rsidRPr="008756F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p w:rsidR="004966CF" w:rsidRPr="008756FF" w:rsidRDefault="004966CF" w:rsidP="004966C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Обеспечения (в том числе в форме залога, поручительства, независимой гарантии), предоставленного лицами, входящими в группу эмитента, иным лицам, не входящим в группу эмитента, а также о совершенных эмитентом (организациями, не входящими в группу эмитента) сделках по предоставлению такого обеспечения, имеющих для эмитента (группы эмитента) существенное значение — отсутствуют.</w:t>
      </w:r>
    </w:p>
    <w:p w:rsidR="004966CF" w:rsidRPr="008756FF" w:rsidRDefault="004966CF" w:rsidP="004966C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p w:rsidR="00AD76CC" w:rsidRPr="008756FF" w:rsidRDefault="000711F2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Обеспечения (в том числе в форме залога, поручительства, независимой гарантии), предоставленного лицами, входящими в группу эмитента, иным лицам, входящим в группу эмитента, а также о совершенных эмитентом (организациями, входящими в группу эмитента) сделках по предоставлению такого обеспечения, имеющих для эмитента (группы эмитента) существенное значение — отсутствуют.</w:t>
      </w:r>
    </w:p>
    <w:p w:rsidR="004966CF" w:rsidRPr="004C3576" w:rsidRDefault="004966C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</w:rPr>
      </w:pPr>
    </w:p>
    <w:p w:rsidR="00AD76CC" w:rsidRPr="008756FF" w:rsidRDefault="000711F2">
      <w:pPr>
        <w:spacing w:before="108" w:after="108"/>
        <w:jc w:val="center"/>
        <w:outlineLvl w:val="0"/>
      </w:pPr>
      <w:r w:rsidRPr="008756F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1.7.3. Сведения о прочих существенных обязательствах эмитента</w:t>
      </w:r>
      <w:bookmarkStart w:id="11" w:name="sub_32173"/>
      <w:bookmarkEnd w:id="11"/>
    </w:p>
    <w:p w:rsidR="00AD76CC" w:rsidRPr="008756F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8756FF" w:rsidRDefault="000711F2">
      <w:pPr>
        <w:spacing w:before="0" w:after="0"/>
        <w:ind w:firstLine="851"/>
        <w:jc w:val="both"/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>Обязательства, которые, по мнению эмитента, могут существенным образом воздействовать на финансовое положение эмитента (а если эмитентом составляется и раскрывается консолидированная финансовая отчетность - на финансовое положение группы эмитента), в том числе на ликвидность, источники финансирования и условия их использования, результаты деятельности и расходы, с описанием факторов, при которых указанные обязательства могут повлечь такое воздействие:</w:t>
      </w:r>
    </w:p>
    <w:p w:rsidR="00AD76CC" w:rsidRDefault="000711F2">
      <w:pPr>
        <w:spacing w:before="0" w:after="0"/>
        <w:ind w:firstLine="851"/>
        <w:jc w:val="both"/>
        <w:rPr>
          <w:b/>
          <w:bCs/>
          <w:i/>
          <w:iCs/>
        </w:rPr>
      </w:pPr>
      <w:r w:rsidRPr="008756FF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lastRenderedPageBreak/>
        <w:t>Прочих обязательств, которые по мнению эмитента, могут существенным образом воздействовать на финансовое положение эмитента (группы эмитента), в том числе на ликвидность, источники финансирования и условия их использования, результаты деятельности и расходы, не имеется.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1.8. Сведения о перспективах развития эмитента</w:t>
      </w:r>
      <w:bookmarkStart w:id="12" w:name="sub_3218"/>
      <w:bookmarkEnd w:id="12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</w:rPr>
      </w:pPr>
    </w:p>
    <w:p w:rsidR="004C3576" w:rsidRDefault="004C3576" w:rsidP="004C3576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0131A4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 Сведения о рисках, связанных с деятельностью эмитента</w:t>
      </w:r>
      <w:bookmarkStart w:id="13" w:name="sub_3219"/>
      <w:bookmarkEnd w:id="13"/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1.9.1. Отраслевые риски</w:t>
      </w:r>
      <w:bookmarkStart w:id="14" w:name="sub_32191"/>
      <w:bookmarkEnd w:id="14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1.9.2. </w:t>
      </w:r>
      <w:proofErr w:type="spellStart"/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Страновые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и региональные риски</w:t>
      </w:r>
      <w:bookmarkStart w:id="15" w:name="sub_32192"/>
      <w:bookmarkEnd w:id="15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ind w:firstLine="709"/>
        <w:jc w:val="center"/>
        <w:outlineLvl w:val="0"/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1.9.3. Финансовые риски</w:t>
      </w:r>
      <w:bookmarkStart w:id="16" w:name="sub_32193"/>
      <w:bookmarkEnd w:id="16"/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1.9.4. Правовые риски</w:t>
      </w:r>
      <w:bookmarkStart w:id="17" w:name="sub_32194"/>
      <w:bookmarkEnd w:id="17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1.9.5. Риск потери деловой репутации (репутационный риск)</w:t>
      </w:r>
      <w:bookmarkStart w:id="18" w:name="sub_32195"/>
      <w:bookmarkEnd w:id="18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1.9.6. Стратегический риск</w:t>
      </w:r>
      <w:bookmarkStart w:id="19" w:name="sub_32196"/>
      <w:bookmarkEnd w:id="19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1.9.7. Риски, связанные с деятельностью эмитента</w:t>
      </w:r>
      <w:bookmarkStart w:id="20" w:name="sub_32197"/>
      <w:bookmarkEnd w:id="20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0711F2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0711F2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1.9.8. Риск информационной безопасности</w:t>
      </w:r>
      <w:bookmarkStart w:id="21" w:name="sub_32198"/>
      <w:bookmarkEnd w:id="21"/>
    </w:p>
    <w:p w:rsidR="00AD76CC" w:rsidRPr="000711F2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Pr="004966CF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966C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1.9.9. Экологический риск</w:t>
      </w:r>
      <w:bookmarkStart w:id="22" w:name="sub_32199"/>
      <w:bookmarkEnd w:id="22"/>
    </w:p>
    <w:p w:rsidR="00AD76CC" w:rsidRPr="004966C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4966CF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Pr="004966CF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966C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1.9.10. Природно-климатический риск</w:t>
      </w:r>
      <w:bookmarkStart w:id="23" w:name="sub_321910"/>
      <w:bookmarkEnd w:id="23"/>
    </w:p>
    <w:p w:rsidR="00AD76CC" w:rsidRPr="004966C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:rsidR="004C3576" w:rsidRPr="00BA1490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A852A1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2</w:t>
      </w:r>
      <w:r w:rsidRPr="006F16D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4966CF" w:rsidRDefault="00AD76C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Pr="004966CF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966C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1.9.11. Риски кредитных организаций</w:t>
      </w:r>
      <w:bookmarkStart w:id="24" w:name="sub_321911"/>
      <w:bookmarkEnd w:id="24"/>
    </w:p>
    <w:p w:rsidR="00AD76CC" w:rsidRPr="004966C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4966CF" w:rsidRDefault="000711F2">
      <w:pPr>
        <w:spacing w:before="0" w:after="0"/>
        <w:ind w:firstLine="709"/>
        <w:jc w:val="both"/>
        <w:rPr>
          <w:b/>
          <w:bCs/>
          <w:i/>
          <w:iCs/>
        </w:rPr>
      </w:pPr>
      <w:r w:rsidRPr="004966CF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Эмитент не является кредитной организацией.</w:t>
      </w:r>
    </w:p>
    <w:p w:rsidR="00AD76CC" w:rsidRPr="004966C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1.9.12. Иные риски, которые являются существенными для эмитента (группы эмитента)</w:t>
      </w:r>
      <w:bookmarkStart w:id="25" w:name="sub_321912"/>
      <w:bookmarkEnd w:id="25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0" w:after="0"/>
        <w:ind w:firstLine="709"/>
        <w:jc w:val="both"/>
        <w:rPr>
          <w:b/>
          <w:bCs/>
          <w:i/>
          <w:iCs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Эмитент не усматривает иных существенных рисков.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bookmarkStart w:id="26" w:name="sub_3220"/>
      <w:bookmarkEnd w:id="26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2.1. Информация о лицах, входящих в состав органов управления эмитента</w:t>
      </w:r>
      <w:bookmarkStart w:id="27" w:name="sub_3221"/>
      <w:bookmarkEnd w:id="27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В период между отчетной датой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изменения не происходили.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Default="000711F2">
      <w:pPr>
        <w:pStyle w:val="2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2.1.1. Состав совета директоров (наблюдательного совета) эмитента</w:t>
      </w:r>
    </w:p>
    <w:p w:rsidR="00AD76CC" w:rsidRDefault="00AD76CC">
      <w:pPr>
        <w:ind w:left="200"/>
        <w:jc w:val="center"/>
        <w:rPr>
          <w:rFonts w:cs="Times New Roman"/>
          <w:sz w:val="24"/>
          <w:szCs w:val="24"/>
        </w:rPr>
      </w:pPr>
    </w:p>
    <w:p w:rsidR="00A852A1" w:rsidRDefault="00A852A1" w:rsidP="00A852A1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6F16D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6F16D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ind w:left="200" w:firstLine="367"/>
        <w:jc w:val="both"/>
        <w:rPr>
          <w:sz w:val="24"/>
          <w:szCs w:val="24"/>
        </w:rPr>
      </w:pPr>
    </w:p>
    <w:p w:rsidR="00AD76CC" w:rsidRDefault="000711F2">
      <w:pPr>
        <w:pStyle w:val="2"/>
        <w:ind w:firstLine="851"/>
        <w:rPr>
          <w:sz w:val="24"/>
          <w:szCs w:val="24"/>
        </w:rPr>
      </w:pPr>
      <w:r>
        <w:rPr>
          <w:sz w:val="24"/>
          <w:szCs w:val="24"/>
        </w:rPr>
        <w:t>2.1.2. Информация о единоличном исполнительном органе эмитента</w:t>
      </w:r>
    </w:p>
    <w:p w:rsidR="00AD76CC" w:rsidRDefault="00AD76CC">
      <w:pPr>
        <w:ind w:firstLine="851"/>
        <w:rPr>
          <w:sz w:val="24"/>
          <w:szCs w:val="24"/>
        </w:rPr>
      </w:pPr>
    </w:p>
    <w:p w:rsidR="00A852A1" w:rsidRDefault="00A852A1" w:rsidP="00A852A1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6F16D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6F16D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ind w:firstLine="851"/>
        <w:jc w:val="both"/>
        <w:rPr>
          <w:sz w:val="24"/>
          <w:szCs w:val="24"/>
        </w:rPr>
      </w:pPr>
    </w:p>
    <w:p w:rsidR="00AD76CC" w:rsidRDefault="000711F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2.1.3. Состав коллегиального исполнительного органа эмитента:</w:t>
      </w:r>
    </w:p>
    <w:p w:rsidR="00AD76CC" w:rsidRDefault="000711F2">
      <w:pPr>
        <w:ind w:firstLine="851"/>
        <w:rPr>
          <w:sz w:val="24"/>
          <w:szCs w:val="24"/>
        </w:rPr>
      </w:pPr>
      <w:r>
        <w:rPr>
          <w:rStyle w:val="Subst"/>
          <w:bCs/>
          <w:iCs/>
          <w:sz w:val="24"/>
          <w:szCs w:val="24"/>
        </w:rPr>
        <w:t>Коллегиальный исполнительный орган не предусмотрен</w:t>
      </w:r>
    </w:p>
    <w:p w:rsidR="00AD76CC" w:rsidRDefault="00AD76CC">
      <w:pPr>
        <w:ind w:firstLine="851"/>
        <w:jc w:val="both"/>
        <w:rPr>
          <w:sz w:val="24"/>
          <w:szCs w:val="24"/>
        </w:rPr>
      </w:pPr>
    </w:p>
    <w:p w:rsidR="00AD76CC" w:rsidRPr="008756FF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bookmarkStart w:id="28" w:name="sub_3222"/>
      <w:bookmarkEnd w:id="28"/>
    </w:p>
    <w:p w:rsidR="00AD76CC" w:rsidRPr="00A852A1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365B16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365B16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В период между отчетной датой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изменения не происходили.</w:t>
      </w:r>
    </w:p>
    <w:p w:rsidR="00AD76CC" w:rsidRPr="00365B16" w:rsidRDefault="00AD76CC">
      <w:pPr>
        <w:spacing w:before="0" w:after="0"/>
        <w:jc w:val="both"/>
        <w:rPr>
          <w:sz w:val="24"/>
          <w:szCs w:val="24"/>
        </w:rPr>
      </w:pPr>
    </w:p>
    <w:p w:rsidR="00AD76CC" w:rsidRPr="00365B16" w:rsidRDefault="000711F2">
      <w:pPr>
        <w:spacing w:before="0" w:after="0"/>
        <w:ind w:firstLine="851"/>
        <w:jc w:val="both"/>
        <w:rPr>
          <w:sz w:val="24"/>
          <w:szCs w:val="24"/>
        </w:rPr>
      </w:pPr>
      <w:r w:rsidRPr="00365B16">
        <w:rPr>
          <w:sz w:val="24"/>
          <w:szCs w:val="24"/>
        </w:rPr>
        <w:t xml:space="preserve">Основные положения политики в области вознаграждения и (или) компенсации расходов, членов органов управления эмитента: </w:t>
      </w:r>
    </w:p>
    <w:p w:rsidR="00AD76CC" w:rsidRPr="00365B16" w:rsidRDefault="000711F2">
      <w:pPr>
        <w:spacing w:before="0" w:after="0"/>
        <w:ind w:firstLine="851"/>
        <w:jc w:val="both"/>
        <w:rPr>
          <w:b/>
          <w:i/>
          <w:sz w:val="24"/>
          <w:szCs w:val="24"/>
        </w:rPr>
      </w:pPr>
      <w:r w:rsidRPr="00365B16">
        <w:rPr>
          <w:b/>
          <w:i/>
          <w:sz w:val="24"/>
          <w:szCs w:val="24"/>
        </w:rPr>
        <w:t>В соответствии с рекомендациями Кодекса корпоративного управления Банка России годовым Общим собранием акционеров ПАО «ЧЗПСН-</w:t>
      </w:r>
      <w:proofErr w:type="spellStart"/>
      <w:r w:rsidRPr="00365B16">
        <w:rPr>
          <w:b/>
          <w:i/>
          <w:sz w:val="24"/>
          <w:szCs w:val="24"/>
        </w:rPr>
        <w:t>Профнастил</w:t>
      </w:r>
      <w:proofErr w:type="spellEnd"/>
      <w:r w:rsidRPr="00365B16">
        <w:rPr>
          <w:b/>
          <w:i/>
          <w:sz w:val="24"/>
          <w:szCs w:val="24"/>
        </w:rPr>
        <w:t xml:space="preserve">» от 02 сентября 2020 года (Протокол № 01/2020) утверждена Политика </w:t>
      </w:r>
      <w:r w:rsidRPr="00365B16">
        <w:rPr>
          <w:b/>
          <w:i/>
          <w:sz w:val="24"/>
          <w:szCs w:val="24"/>
          <w:lang w:bidi="ru-RU"/>
        </w:rPr>
        <w:t>по вознаграждению и возмещению расходов членов Совета директоров, исполнительных органов и иных ключевых руководящих должностных лиц ПАО «ЧЗПСН-ПРОФНАСТИЛ»</w:t>
      </w:r>
      <w:r w:rsidRPr="00365B16">
        <w:rPr>
          <w:b/>
          <w:i/>
          <w:sz w:val="24"/>
          <w:szCs w:val="24"/>
        </w:rPr>
        <w:t xml:space="preserve"> (далее - Политика вознаграждения). Полностью текст Политики вознаграждения размещен на странице интернет-сайта Общества: </w:t>
      </w:r>
    </w:p>
    <w:p w:rsidR="00AD76CC" w:rsidRPr="00365B16" w:rsidRDefault="009C7A86">
      <w:pPr>
        <w:spacing w:before="0" w:after="0"/>
        <w:ind w:firstLine="851"/>
        <w:jc w:val="both"/>
        <w:rPr>
          <w:b/>
          <w:i/>
        </w:rPr>
      </w:pPr>
      <w:hyperlink r:id="rId10">
        <w:r w:rsidR="000711F2" w:rsidRPr="00365B16">
          <w:rPr>
            <w:rStyle w:val="-"/>
            <w:rFonts w:ascii="Times New Roman CYR" w:eastAsia="Times New Roman" w:hAnsi="Times New Roman CYR" w:cs="Times New Roman CYR"/>
            <w:b/>
            <w:i/>
            <w:color w:val="auto"/>
            <w:sz w:val="24"/>
            <w:szCs w:val="24"/>
          </w:rPr>
          <w:t>https://xn--80ajidrinhdbfg.xn--p1ai/aktsioneru-i-investoru/chzpsn-profnastil/ustav-i-vnutrennie-dokumenty/</w:t>
        </w:r>
      </w:hyperlink>
      <w:r w:rsidR="000711F2" w:rsidRPr="00365B16">
        <w:rPr>
          <w:b/>
          <w:i/>
        </w:rPr>
        <w:t xml:space="preserve">, </w:t>
      </w:r>
      <w:r w:rsidR="000711F2" w:rsidRPr="00365B16">
        <w:rPr>
          <w:b/>
          <w:i/>
          <w:sz w:val="24"/>
          <w:szCs w:val="24"/>
        </w:rPr>
        <w:t>а также на</w:t>
      </w:r>
      <w:r w:rsidR="000711F2" w:rsidRPr="00365B16">
        <w:rPr>
          <w:b/>
          <w:i/>
        </w:rPr>
        <w:t xml:space="preserve"> </w:t>
      </w:r>
    </w:p>
    <w:p w:rsidR="00AD76CC" w:rsidRPr="00A852A1" w:rsidRDefault="009C7A86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</w:rPr>
      </w:pPr>
      <w:hyperlink r:id="rId11">
        <w:r w:rsidR="000711F2" w:rsidRPr="00365B16">
          <w:rPr>
            <w:rStyle w:val="-"/>
            <w:rFonts w:ascii="Times New Roman CYR" w:eastAsia="Times New Roman" w:hAnsi="Times New Roman CYR" w:cs="Times New Roman CYR"/>
            <w:b/>
            <w:i/>
            <w:color w:val="auto"/>
            <w:sz w:val="24"/>
            <w:szCs w:val="24"/>
          </w:rPr>
          <w:t>https://www.e-disclosure.ru/portal/files.aspx?id=4744&amp;type=1</w:t>
        </w:r>
      </w:hyperlink>
      <w:r w:rsidR="000711F2" w:rsidRPr="00A852A1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</w:rPr>
        <w:t xml:space="preserve"> </w:t>
      </w:r>
    </w:p>
    <w:p w:rsidR="00AD76CC" w:rsidRPr="00A852A1" w:rsidRDefault="00AD76CC">
      <w:pPr>
        <w:spacing w:before="0" w:after="0"/>
        <w:jc w:val="both"/>
        <w:rPr>
          <w:sz w:val="24"/>
          <w:szCs w:val="24"/>
          <w:highlight w:val="yellow"/>
        </w:rPr>
      </w:pPr>
    </w:p>
    <w:p w:rsidR="00AD76CC" w:rsidRPr="008756FF" w:rsidRDefault="000711F2">
      <w:pPr>
        <w:spacing w:before="0" w:after="0"/>
        <w:jc w:val="both"/>
        <w:rPr>
          <w:sz w:val="24"/>
          <w:szCs w:val="24"/>
        </w:rPr>
      </w:pPr>
      <w:r w:rsidRPr="008756FF">
        <w:rPr>
          <w:sz w:val="24"/>
          <w:szCs w:val="24"/>
        </w:rPr>
        <w:t xml:space="preserve">Вознаграждения </w:t>
      </w:r>
    </w:p>
    <w:p w:rsidR="00AD76CC" w:rsidRPr="008756FF" w:rsidRDefault="000711F2">
      <w:pPr>
        <w:spacing w:before="0" w:after="0"/>
        <w:jc w:val="both"/>
        <w:rPr>
          <w:sz w:val="24"/>
          <w:szCs w:val="24"/>
        </w:rPr>
      </w:pPr>
      <w:r w:rsidRPr="008756FF">
        <w:rPr>
          <w:sz w:val="24"/>
          <w:szCs w:val="24"/>
        </w:rPr>
        <w:t>Совет директоров</w:t>
      </w:r>
    </w:p>
    <w:p w:rsidR="00AD76CC" w:rsidRPr="008756FF" w:rsidRDefault="000711F2">
      <w:pPr>
        <w:spacing w:before="0" w:after="0"/>
        <w:jc w:val="both"/>
        <w:rPr>
          <w:sz w:val="24"/>
          <w:szCs w:val="24"/>
        </w:rPr>
      </w:pPr>
      <w:r w:rsidRPr="008756FF">
        <w:rPr>
          <w:sz w:val="24"/>
          <w:szCs w:val="24"/>
        </w:rPr>
        <w:t xml:space="preserve">Единица измерения: тыс. руб. </w:t>
      </w:r>
    </w:p>
    <w:tbl>
      <w:tblPr>
        <w:tblW w:w="9252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411"/>
        <w:gridCol w:w="1841"/>
      </w:tblGrid>
      <w:tr w:rsidR="00AD76CC" w:rsidRPr="008756FF">
        <w:tc>
          <w:tcPr>
            <w:tcW w:w="74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jc w:val="center"/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0711F2" w:rsidP="00B851FC">
            <w:pPr>
              <w:jc w:val="center"/>
            </w:pPr>
            <w:r w:rsidRPr="008756FF">
              <w:rPr>
                <w:b/>
                <w:i/>
                <w:sz w:val="24"/>
                <w:szCs w:val="24"/>
              </w:rPr>
              <w:t>202</w:t>
            </w:r>
            <w:r w:rsidR="00B851FC" w:rsidRPr="008756FF">
              <w:rPr>
                <w:b/>
                <w:i/>
                <w:sz w:val="24"/>
                <w:szCs w:val="24"/>
              </w:rPr>
              <w:t>3</w:t>
            </w:r>
            <w:r w:rsidRPr="008756FF">
              <w:rPr>
                <w:b/>
                <w:i/>
                <w:sz w:val="24"/>
                <w:szCs w:val="24"/>
              </w:rPr>
              <w:t xml:space="preserve"> год</w:t>
            </w:r>
            <w:r w:rsidR="00B851FC" w:rsidRPr="008756FF">
              <w:rPr>
                <w:b/>
                <w:i/>
                <w:sz w:val="24"/>
                <w:szCs w:val="24"/>
              </w:rPr>
              <w:t xml:space="preserve"> 6 мес.</w:t>
            </w:r>
          </w:p>
        </w:tc>
      </w:tr>
      <w:tr w:rsidR="00AD76CC" w:rsidRPr="008756FF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lastRenderedPageBreak/>
              <w:t>Вознаграждение за участие в работе органа управления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AD76CC">
            <w:pPr>
              <w:jc w:val="center"/>
            </w:pPr>
          </w:p>
        </w:tc>
      </w:tr>
      <w:tr w:rsidR="00AD76CC" w:rsidRPr="008756FF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t>Заработная плата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8756FF">
            <w:pPr>
              <w:jc w:val="center"/>
              <w:rPr>
                <w:b/>
                <w:i/>
              </w:rPr>
            </w:pPr>
            <w:r w:rsidRPr="008756FF">
              <w:rPr>
                <w:b/>
                <w:i/>
              </w:rPr>
              <w:t>3 849</w:t>
            </w:r>
          </w:p>
        </w:tc>
      </w:tr>
      <w:tr w:rsidR="00AD76CC" w:rsidRPr="008756FF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t>Премии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8756FF">
            <w:pPr>
              <w:jc w:val="center"/>
              <w:rPr>
                <w:b/>
                <w:i/>
              </w:rPr>
            </w:pPr>
            <w:r w:rsidRPr="008756FF">
              <w:rPr>
                <w:b/>
                <w:i/>
              </w:rPr>
              <w:t>4 759</w:t>
            </w:r>
          </w:p>
        </w:tc>
      </w:tr>
      <w:tr w:rsidR="00AD76CC" w:rsidRPr="008756FF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t>Комиссионные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AD76CC">
            <w:pPr>
              <w:jc w:val="center"/>
            </w:pPr>
          </w:p>
        </w:tc>
      </w:tr>
      <w:tr w:rsidR="00AD76CC" w:rsidRPr="008756FF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t>Иные виды вознаграждений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AD76CC">
            <w:pPr>
              <w:jc w:val="center"/>
            </w:pPr>
          </w:p>
        </w:tc>
      </w:tr>
      <w:tr w:rsidR="00AD76CC" w:rsidRPr="00A852A1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8756FF">
            <w:pPr>
              <w:jc w:val="center"/>
              <w:rPr>
                <w:b/>
                <w:i/>
              </w:rPr>
            </w:pPr>
            <w:r w:rsidRPr="008756FF">
              <w:rPr>
                <w:b/>
                <w:i/>
              </w:rPr>
              <w:t>8 608</w:t>
            </w:r>
          </w:p>
        </w:tc>
      </w:tr>
    </w:tbl>
    <w:p w:rsidR="00AD76CC" w:rsidRPr="00A852A1" w:rsidRDefault="00AD76CC">
      <w:pPr>
        <w:spacing w:before="0" w:after="0"/>
        <w:jc w:val="both"/>
        <w:rPr>
          <w:highlight w:val="yellow"/>
        </w:rPr>
      </w:pPr>
    </w:p>
    <w:p w:rsidR="00AD76CC" w:rsidRPr="008756F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756FF">
        <w:rPr>
          <w:sz w:val="24"/>
          <w:szCs w:val="24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 </w:t>
      </w:r>
      <w:r w:rsidRPr="008756FF">
        <w:rPr>
          <w:b/>
          <w:i/>
          <w:sz w:val="24"/>
          <w:szCs w:val="24"/>
        </w:rPr>
        <w:t>Нет.</w:t>
      </w:r>
    </w:p>
    <w:p w:rsidR="00AD76CC" w:rsidRPr="008756FF" w:rsidRDefault="000711F2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AD76CC" w:rsidRPr="008756F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756FF">
        <w:rPr>
          <w:rFonts w:ascii="Times New Roman CYR" w:eastAsia="Times New Roman" w:hAnsi="Times New Roman CYR" w:cs="Times New Roman CYR"/>
          <w:sz w:val="24"/>
          <w:szCs w:val="24"/>
        </w:rPr>
        <w:t>Компенсация расходов, связанных с исполнением функций членов органов управления эмитента:</w:t>
      </w:r>
    </w:p>
    <w:p w:rsidR="00AD76CC" w:rsidRPr="008756FF" w:rsidRDefault="000711F2">
      <w:pPr>
        <w:pStyle w:val="SubHeading"/>
        <w:spacing w:before="0" w:after="0"/>
        <w:ind w:left="142" w:firstLine="425"/>
        <w:jc w:val="both"/>
        <w:rPr>
          <w:sz w:val="24"/>
          <w:szCs w:val="24"/>
        </w:rPr>
      </w:pPr>
      <w:r w:rsidRPr="008756FF">
        <w:rPr>
          <w:sz w:val="24"/>
          <w:szCs w:val="24"/>
        </w:rPr>
        <w:t>Компенсации</w:t>
      </w:r>
    </w:p>
    <w:p w:rsidR="00AD76CC" w:rsidRPr="008756FF" w:rsidRDefault="000711F2">
      <w:pPr>
        <w:pStyle w:val="SubHeading"/>
        <w:spacing w:before="0" w:after="0"/>
        <w:ind w:left="142" w:firstLine="425"/>
        <w:jc w:val="both"/>
        <w:rPr>
          <w:sz w:val="24"/>
          <w:szCs w:val="24"/>
        </w:rPr>
      </w:pPr>
      <w:r w:rsidRPr="008756FF">
        <w:rPr>
          <w:sz w:val="24"/>
          <w:szCs w:val="24"/>
        </w:rPr>
        <w:t>Совет директоров</w:t>
      </w:r>
    </w:p>
    <w:p w:rsidR="00AD76CC" w:rsidRPr="008756FF" w:rsidRDefault="000711F2">
      <w:pPr>
        <w:spacing w:before="0" w:after="0"/>
        <w:ind w:left="142" w:firstLine="425"/>
        <w:jc w:val="both"/>
        <w:rPr>
          <w:sz w:val="24"/>
          <w:szCs w:val="24"/>
        </w:rPr>
      </w:pPr>
      <w:r w:rsidRPr="008756FF">
        <w:rPr>
          <w:sz w:val="24"/>
          <w:szCs w:val="24"/>
        </w:rPr>
        <w:t>Единица измерения:</w:t>
      </w:r>
      <w:r w:rsidRPr="008756FF">
        <w:rPr>
          <w:rStyle w:val="Subst"/>
          <w:bCs/>
          <w:iCs/>
          <w:sz w:val="24"/>
          <w:szCs w:val="24"/>
        </w:rPr>
        <w:t xml:space="preserve"> тыс. руб.</w:t>
      </w:r>
    </w:p>
    <w:p w:rsidR="00AD76CC" w:rsidRPr="00A852A1" w:rsidRDefault="00AD76CC">
      <w:pPr>
        <w:pStyle w:val="ThinDelim"/>
        <w:rPr>
          <w:sz w:val="24"/>
          <w:szCs w:val="24"/>
          <w:highlight w:val="yellow"/>
        </w:rPr>
      </w:pPr>
    </w:p>
    <w:tbl>
      <w:tblPr>
        <w:tblW w:w="9286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443"/>
        <w:gridCol w:w="1843"/>
      </w:tblGrid>
      <w:tr w:rsidR="00AD76CC" w:rsidRPr="008756FF">
        <w:tc>
          <w:tcPr>
            <w:tcW w:w="74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spacing w:before="0" w:after="0"/>
              <w:jc w:val="center"/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t>Наименование органа управления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B851FC">
            <w:pPr>
              <w:spacing w:before="0" w:after="0"/>
              <w:jc w:val="center"/>
            </w:pPr>
            <w:r w:rsidRPr="008756FF">
              <w:rPr>
                <w:b/>
                <w:i/>
                <w:sz w:val="24"/>
                <w:szCs w:val="24"/>
              </w:rPr>
              <w:t>2023 год 6 мес.</w:t>
            </w:r>
          </w:p>
        </w:tc>
      </w:tr>
      <w:tr w:rsidR="00AD76CC" w:rsidRPr="008756FF">
        <w:tc>
          <w:tcPr>
            <w:tcW w:w="74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8756FF" w:rsidRDefault="000711F2">
            <w:pPr>
              <w:spacing w:before="0" w:after="0"/>
              <w:rPr>
                <w:b/>
                <w:i/>
                <w:sz w:val="24"/>
                <w:szCs w:val="24"/>
              </w:rPr>
            </w:pPr>
            <w:r w:rsidRPr="008756FF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  <w:t>Расходы, связанные с исполнением функций членов органов управления эмитента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8756FF" w:rsidRDefault="000711F2">
            <w:pPr>
              <w:spacing w:before="0" w:after="0"/>
              <w:jc w:val="right"/>
              <w:rPr>
                <w:b/>
                <w:i/>
                <w:sz w:val="24"/>
                <w:szCs w:val="24"/>
              </w:rPr>
            </w:pPr>
            <w:r w:rsidRPr="008756FF"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:rsidR="00AD76CC" w:rsidRPr="004966CF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0" w:after="0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966C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2.3. Сведения об организации в эмитенте управления рисками, контроля за финансово-хозяйственной деятельностью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, внутреннего контроля и внутреннего аудита</w:t>
      </w:r>
      <w:bookmarkStart w:id="29" w:name="sub_3223"/>
      <w:bookmarkEnd w:id="29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A852A1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F16D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6F16D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</w:r>
      <w:bookmarkStart w:id="30" w:name="sub_3224"/>
      <w:bookmarkEnd w:id="30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A852A1">
      <w:pPr>
        <w:spacing w:before="0" w:after="0"/>
        <w:jc w:val="both"/>
        <w:rPr>
          <w:b/>
          <w:i/>
          <w:sz w:val="24"/>
          <w:szCs w:val="24"/>
        </w:rPr>
      </w:pPr>
      <w:r w:rsidRPr="006F16D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6F16D8">
        <w:rPr>
          <w:b/>
          <w:i/>
          <w:sz w:val="24"/>
          <w:szCs w:val="24"/>
        </w:rPr>
        <w:t>, не происходило.</w:t>
      </w:r>
    </w:p>
    <w:p w:rsidR="00A852A1" w:rsidRDefault="00A852A1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bookmarkStart w:id="31" w:name="sub_3225"/>
      <w:bookmarkEnd w:id="31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A852A1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6F16D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6F16D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</w:r>
      <w:bookmarkStart w:id="32" w:name="sub_3230"/>
      <w:bookmarkEnd w:id="32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3.1. Сведения об общем количестве акционеров (участников, членов) эмитента</w:t>
      </w:r>
      <w:bookmarkStart w:id="33" w:name="sub_3231"/>
      <w:bookmarkEnd w:id="33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54215" w:rsidRDefault="00454215" w:rsidP="00454215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6F16D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6F16D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0" w:after="0"/>
        <w:jc w:val="both"/>
        <w:rPr>
          <w:highlight w:val="yellow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bookmarkStart w:id="34" w:name="sub_3232"/>
      <w:bookmarkEnd w:id="34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54215" w:rsidRDefault="00454215" w:rsidP="00454215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6F16D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6F16D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pStyle w:val="ThinDelim"/>
        <w:ind w:left="200" w:firstLine="367"/>
        <w:jc w:val="both"/>
        <w:rPr>
          <w:rFonts w:cs="Times New Roman"/>
          <w:b/>
          <w:i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</w:t>
      </w:r>
      <w:bookmarkStart w:id="35" w:name="sub_3233"/>
      <w:bookmarkEnd w:id="35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454215" w:rsidRDefault="00454215" w:rsidP="00454215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6F16D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6F16D8">
        <w:rPr>
          <w:b/>
          <w:i/>
          <w:sz w:val="24"/>
          <w:szCs w:val="24"/>
        </w:rPr>
        <w:t>, не происходило.</w:t>
      </w:r>
    </w:p>
    <w:p w:rsidR="00AD76CC" w:rsidRPr="00E50FCE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</w:rPr>
      </w:pPr>
    </w:p>
    <w:p w:rsidR="00AD76CC" w:rsidRPr="00E50FCE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E50FC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3.4. Сделки эмитента, в совершении которых имелась заинтересованность</w:t>
      </w:r>
      <w:bookmarkStart w:id="36" w:name="sub_3234"/>
      <w:bookmarkEnd w:id="36"/>
    </w:p>
    <w:p w:rsidR="00AD76CC" w:rsidRPr="00E50FC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454215" w:rsidRDefault="00454215" w:rsidP="00454215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0131A4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AD76CC" w:rsidRPr="00E50FC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E50FCE" w:rsidRDefault="000711F2">
      <w:pPr>
        <w:spacing w:before="108" w:after="108"/>
        <w:jc w:val="center"/>
        <w:outlineLvl w:val="0"/>
      </w:pPr>
      <w:r w:rsidRPr="00E50FC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3.5. Крупные сделки эмитента</w:t>
      </w:r>
      <w:bookmarkStart w:id="37" w:name="sub_3235"/>
      <w:bookmarkEnd w:id="37"/>
    </w:p>
    <w:p w:rsidR="00AD76CC" w:rsidRPr="00E50FC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54215" w:rsidRDefault="00454215" w:rsidP="00454215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0131A4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AD76CC" w:rsidRPr="00E50FCE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Pr="00E50FCE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E50FC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Раздел 4. Дополнительные сведения об эмитенте и о размещенных им ценных бумагах</w:t>
      </w:r>
      <w:bookmarkStart w:id="38" w:name="sub_3240"/>
      <w:bookmarkEnd w:id="38"/>
    </w:p>
    <w:p w:rsidR="00AD76CC" w:rsidRPr="00E50FC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E50FCE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E50FC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4.1. Подконтрольные эмитенту организации, имеющие для него существенное значение</w:t>
      </w:r>
      <w:bookmarkStart w:id="39" w:name="sub_3241"/>
      <w:bookmarkEnd w:id="39"/>
    </w:p>
    <w:p w:rsidR="00AD76CC" w:rsidRPr="00E50FC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54215" w:rsidRDefault="00454215" w:rsidP="00454215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134CA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134CA8">
        <w:rPr>
          <w:b/>
          <w:i/>
          <w:sz w:val="24"/>
          <w:szCs w:val="24"/>
        </w:rPr>
        <w:t>, не происходило.</w:t>
      </w:r>
    </w:p>
    <w:p w:rsidR="00AD76CC" w:rsidRPr="00E50FC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A95BD6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  <w:r w:rsidRPr="00171C7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4.2. Дополнительные сведения, раскрываемые эмитентами зеленых облигаций, социальных облигаций, облигаций устойчивого развития, адаптационных облигаций  </w:t>
      </w:r>
      <w:bookmarkStart w:id="40" w:name="sub_3242"/>
      <w:bookmarkEnd w:id="40"/>
    </w:p>
    <w:p w:rsidR="00AD76CC" w:rsidRPr="00A95BD6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171C74" w:rsidRDefault="00171C74" w:rsidP="00171C74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0131A4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bookmarkStart w:id="41" w:name="sub_3243"/>
      <w:bookmarkEnd w:id="41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134CA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134CA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4.3.1. Дополнительные сведения об ипотечном покрытии по облигациям эмитента с ипотечным покрытием</w:t>
      </w:r>
      <w:bookmarkStart w:id="42" w:name="sub_32431"/>
      <w:bookmarkEnd w:id="42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bookmarkStart w:id="43" w:name="sub_3243142"/>
      <w:bookmarkEnd w:id="43"/>
      <w:r w:rsidRPr="00134CA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134CA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4.3.2.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bookmarkStart w:id="44" w:name="sub_32432"/>
      <w:bookmarkEnd w:id="44"/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134CA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134CA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4.4. Сведения об объявленных и выплаченных дивидендах по акциям эмитента</w:t>
      </w:r>
      <w:bookmarkStart w:id="45" w:name="sub_3244"/>
      <w:bookmarkEnd w:id="45"/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134CA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134CA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4.5. Сведения об организациях, осуществляющих учет прав на эмиссионные ценные бумаги эмитента</w:t>
      </w:r>
      <w:bookmarkStart w:id="46" w:name="sub_3245"/>
      <w:bookmarkEnd w:id="46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4.5.1 Сведения о регистраторе, осуществляющем ведение реестра владельцев ценных бумаг эмитента</w:t>
      </w:r>
      <w:bookmarkStart w:id="47" w:name="sub_32451"/>
      <w:bookmarkEnd w:id="47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134CA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134CA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4.5.2. Сведения о депозитарии, осуществляющем централизованный учет прав на ценные 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бумаги эмитента</w:t>
      </w:r>
      <w:bookmarkStart w:id="48" w:name="sub_32452"/>
      <w:bookmarkEnd w:id="48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134CA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134CA8">
        <w:rPr>
          <w:b/>
          <w:i/>
          <w:sz w:val="24"/>
          <w:szCs w:val="24"/>
        </w:rPr>
        <w:t>, не происходило.</w:t>
      </w:r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F95249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F95249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4.6. Информация об аудиторе эмитента</w:t>
      </w:r>
      <w:bookmarkStart w:id="49" w:name="sub_3246"/>
      <w:bookmarkEnd w:id="49"/>
    </w:p>
    <w:p w:rsidR="00AD76CC" w:rsidRPr="00F95249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95BD6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134CA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>
        <w:rPr>
          <w:b/>
          <w:i/>
          <w:sz w:val="24"/>
          <w:szCs w:val="24"/>
        </w:rPr>
        <w:t>2</w:t>
      </w:r>
      <w:r w:rsidRPr="00134CA8">
        <w:rPr>
          <w:b/>
          <w:i/>
          <w:sz w:val="24"/>
          <w:szCs w:val="24"/>
        </w:rPr>
        <w:t>, не происходило.</w:t>
      </w:r>
    </w:p>
    <w:p w:rsidR="00AD76CC" w:rsidRPr="001D228C" w:rsidRDefault="00AD76CC">
      <w:pPr>
        <w:spacing w:before="0" w:after="0"/>
        <w:jc w:val="both"/>
        <w:rPr>
          <w:sz w:val="24"/>
          <w:szCs w:val="24"/>
        </w:rPr>
      </w:pPr>
    </w:p>
    <w:p w:rsidR="00AD76CC" w:rsidRPr="001D228C" w:rsidRDefault="00AD76CC">
      <w:pPr>
        <w:spacing w:before="0" w:after="0"/>
        <w:ind w:firstLine="851"/>
        <w:jc w:val="both"/>
        <w:rPr>
          <w:b/>
          <w:i/>
          <w:sz w:val="24"/>
          <w:szCs w:val="24"/>
        </w:rPr>
      </w:pPr>
    </w:p>
    <w:p w:rsidR="00AD76CC" w:rsidRPr="001D228C" w:rsidRDefault="00AD76CC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AD76CC" w:rsidRPr="001D228C" w:rsidRDefault="00AD76CC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AD76CC" w:rsidRPr="001D228C" w:rsidRDefault="00AD76CC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E50FCE" w:rsidRPr="001D228C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D1555A" w:rsidRPr="001D228C" w:rsidRDefault="00D1555A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D1555A" w:rsidRPr="001D228C" w:rsidRDefault="00D1555A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D1555A" w:rsidRPr="001D228C" w:rsidRDefault="00D1555A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1D228C" w:rsidRPr="001D228C" w:rsidRDefault="001D228C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1D228C" w:rsidRPr="001D228C" w:rsidRDefault="001D228C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1D228C" w:rsidRPr="001D228C" w:rsidRDefault="001D228C">
      <w:pPr>
        <w:spacing w:before="108" w:after="10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95BD6" w:rsidRDefault="00A95BD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171C74" w:rsidRDefault="00171C74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Default="000711F2">
      <w:pPr>
        <w:spacing w:before="108" w:after="108"/>
        <w:jc w:val="center"/>
        <w:outlineLvl w:val="0"/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Раздел 5. Консолидированная финансовая отчетность (финансовая отчетность), бухгалтерская (финансовая) отчетность эмитента</w:t>
      </w:r>
      <w:bookmarkStart w:id="50" w:name="sub_3250"/>
      <w:bookmarkEnd w:id="50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5.1. Консолидированная финансовая отчетность (финансовая отчетность) эмитента</w:t>
      </w:r>
      <w:bookmarkStart w:id="51" w:name="sub_3251"/>
      <w:bookmarkEnd w:id="51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BD6" w:rsidRPr="00134CA8" w:rsidRDefault="00A95BD6" w:rsidP="00A95BD6">
      <w:pPr>
        <w:spacing w:before="0" w:after="0"/>
        <w:ind w:firstLine="851"/>
        <w:jc w:val="both"/>
        <w:rPr>
          <w:b/>
          <w:bCs/>
          <w:i/>
          <w:sz w:val="24"/>
          <w:szCs w:val="24"/>
        </w:rPr>
      </w:pPr>
      <w:r w:rsidRPr="00134CA8">
        <w:rPr>
          <w:b/>
          <w:bCs/>
          <w:i/>
          <w:sz w:val="24"/>
          <w:szCs w:val="24"/>
        </w:rPr>
        <w:t xml:space="preserve">Промежуточная </w:t>
      </w:r>
      <w:r w:rsidRPr="00EB7995">
        <w:rPr>
          <w:b/>
          <w:bCs/>
          <w:i/>
          <w:sz w:val="24"/>
          <w:szCs w:val="24"/>
        </w:rPr>
        <w:t>сокращенная</w:t>
      </w:r>
      <w:r w:rsidRPr="00134CA8">
        <w:rPr>
          <w:b/>
          <w:bCs/>
          <w:i/>
          <w:sz w:val="24"/>
          <w:szCs w:val="24"/>
        </w:rPr>
        <w:t xml:space="preserve"> консолидированная финансовая отчетность ПАО «ЧЗПСН-</w:t>
      </w:r>
      <w:proofErr w:type="spellStart"/>
      <w:r w:rsidRPr="00134CA8">
        <w:rPr>
          <w:b/>
          <w:bCs/>
          <w:i/>
          <w:sz w:val="24"/>
          <w:szCs w:val="24"/>
        </w:rPr>
        <w:t>Профнастил</w:t>
      </w:r>
      <w:proofErr w:type="spellEnd"/>
      <w:r w:rsidRPr="00134CA8">
        <w:rPr>
          <w:b/>
          <w:bCs/>
          <w:i/>
          <w:sz w:val="24"/>
          <w:szCs w:val="24"/>
        </w:rPr>
        <w:t>» за шесть месяцев, закончившихся 30 июня 202</w:t>
      </w:r>
      <w:r>
        <w:rPr>
          <w:b/>
          <w:bCs/>
          <w:i/>
          <w:sz w:val="24"/>
          <w:szCs w:val="24"/>
        </w:rPr>
        <w:t>3</w:t>
      </w:r>
      <w:r w:rsidRPr="00134CA8">
        <w:rPr>
          <w:b/>
          <w:bCs/>
          <w:i/>
          <w:sz w:val="24"/>
          <w:szCs w:val="24"/>
        </w:rPr>
        <w:t xml:space="preserve">, опубликована на странице в сети Интернет: </w:t>
      </w:r>
    </w:p>
    <w:p w:rsidR="00AD76CC" w:rsidRPr="002630BE" w:rsidRDefault="009C7A86">
      <w:pPr>
        <w:spacing w:before="0" w:after="0"/>
        <w:jc w:val="both"/>
        <w:rPr>
          <w:b/>
          <w:i/>
          <w:sz w:val="24"/>
          <w:szCs w:val="24"/>
        </w:rPr>
      </w:pPr>
      <w:hyperlink r:id="rId12">
        <w:r w:rsidR="000711F2" w:rsidRPr="002630BE">
          <w:rPr>
            <w:rStyle w:val="-"/>
            <w:b/>
            <w:i/>
            <w:color w:val="auto"/>
            <w:sz w:val="24"/>
            <w:szCs w:val="24"/>
          </w:rPr>
          <w:t>https://www.e-disclosure.ru/portal/files.aspx?id=4744&amp;type=4</w:t>
        </w:r>
      </w:hyperlink>
    </w:p>
    <w:p w:rsidR="00AD76CC" w:rsidRPr="002630BE" w:rsidRDefault="009C7A86">
      <w:pPr>
        <w:spacing w:before="0" w:after="0"/>
        <w:jc w:val="both"/>
        <w:rPr>
          <w:b/>
          <w:i/>
          <w:sz w:val="24"/>
          <w:szCs w:val="24"/>
        </w:rPr>
      </w:pPr>
      <w:hyperlink r:id="rId13">
        <w:r w:rsidR="000711F2" w:rsidRPr="002630BE">
          <w:rPr>
            <w:rStyle w:val="-"/>
            <w:b/>
            <w:i/>
            <w:color w:val="auto"/>
            <w:sz w:val="24"/>
            <w:szCs w:val="24"/>
          </w:rPr>
          <w:t>https://xn--80ajidrinhdbfg.xn--p1ai/aktsioneru-i-investoru/chzpsn-profnastil/bukhgalterskaya-otchetnost/</w:t>
        </w:r>
      </w:hyperlink>
    </w:p>
    <w:p w:rsidR="00AD76CC" w:rsidRPr="002630BE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Pr="002630BE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630B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5.2. Бухгалтерская (финансовая) отчетность</w:t>
      </w:r>
      <w:bookmarkStart w:id="52" w:name="sub_3252"/>
      <w:bookmarkEnd w:id="52"/>
    </w:p>
    <w:p w:rsidR="00AD76CC" w:rsidRPr="002630BE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Pr="002630BE" w:rsidRDefault="00A95BD6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2630B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Промежуточная бухгалтерская (финансовая) отчетность ПАО «ЧЗПСН-</w:t>
      </w:r>
      <w:proofErr w:type="spellStart"/>
      <w:r w:rsidRPr="002630B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Профнастил</w:t>
      </w:r>
      <w:proofErr w:type="spellEnd"/>
      <w:r w:rsidRPr="002630B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» за шесть месяцев, закончившихся 30 июня 2023 года</w:t>
      </w:r>
      <w:r w:rsidR="000711F2" w:rsidRPr="002630B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, опубликована на странице в сети Интернет: </w:t>
      </w:r>
    </w:p>
    <w:p w:rsidR="00AD76CC" w:rsidRPr="002630BE" w:rsidRDefault="009C7A86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hyperlink r:id="rId14">
        <w:r w:rsidR="000711F2" w:rsidRPr="002630BE">
          <w:rPr>
            <w:rStyle w:val="-"/>
            <w:rFonts w:ascii="Times New Roman CYR" w:eastAsia="Times New Roman" w:hAnsi="Times New Roman CYR" w:cs="Times New Roman CYR"/>
            <w:b/>
            <w:i/>
            <w:color w:val="auto"/>
            <w:sz w:val="24"/>
            <w:szCs w:val="24"/>
          </w:rPr>
          <w:t>https://www.e-disclosure.ru/portal/files.aspx?id=4744&amp;type=3</w:t>
        </w:r>
      </w:hyperlink>
    </w:p>
    <w:p w:rsidR="00AD76CC" w:rsidRDefault="009C7A86">
      <w:pPr>
        <w:spacing w:before="0" w:after="0"/>
        <w:jc w:val="both"/>
        <w:rPr>
          <w:b/>
          <w:i/>
          <w:sz w:val="24"/>
          <w:szCs w:val="24"/>
        </w:rPr>
      </w:pPr>
      <w:hyperlink r:id="rId15">
        <w:r w:rsidR="000711F2" w:rsidRPr="002630BE">
          <w:rPr>
            <w:rStyle w:val="-"/>
            <w:b/>
            <w:i/>
            <w:color w:val="auto"/>
            <w:sz w:val="24"/>
            <w:szCs w:val="24"/>
          </w:rPr>
          <w:t>https://xn--80ajidrinhdbfg.xn--p1ai/aktsioneru-i-investoru/chzpsn-profnastil/bukhgalterskaya-otchetnost/</w:t>
        </w:r>
      </w:hyperlink>
    </w:p>
    <w:p w:rsidR="00AD76CC" w:rsidRDefault="00AD76CC">
      <w:bookmarkStart w:id="53" w:name="_GoBack"/>
      <w:bookmarkEnd w:id="53"/>
    </w:p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p w:rsidR="00AD76CC" w:rsidRDefault="00AD76CC"/>
    <w:sectPr w:rsidR="00AD76CC">
      <w:type w:val="continuous"/>
      <w:pgSz w:w="11906" w:h="16838"/>
      <w:pgMar w:top="709" w:right="850" w:bottom="777" w:left="1276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A86" w:rsidRDefault="009C7A86">
      <w:pPr>
        <w:spacing w:before="0" w:after="0"/>
      </w:pPr>
      <w:r>
        <w:separator/>
      </w:r>
    </w:p>
  </w:endnote>
  <w:endnote w:type="continuationSeparator" w:id="0">
    <w:p w:rsidR="009C7A86" w:rsidRDefault="009C7A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3C" w:rsidRDefault="007C003C">
    <w:pPr>
      <w:spacing w:before="0" w:after="0"/>
    </w:pPr>
    <w:r>
      <w:fldChar w:fldCharType="begin"/>
    </w:r>
    <w:r>
      <w:instrText>PAGE</w:instrText>
    </w:r>
    <w:r>
      <w:fldChar w:fldCharType="separate"/>
    </w:r>
    <w:r w:rsidR="00A73421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A86" w:rsidRDefault="009C7A86">
      <w:pPr>
        <w:spacing w:before="0" w:after="0"/>
      </w:pPr>
      <w:r>
        <w:separator/>
      </w:r>
    </w:p>
  </w:footnote>
  <w:footnote w:type="continuationSeparator" w:id="0">
    <w:p w:rsidR="009C7A86" w:rsidRDefault="009C7A8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7349C"/>
    <w:multiLevelType w:val="multilevel"/>
    <w:tmpl w:val="E4B20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027BE6"/>
    <w:multiLevelType w:val="multilevel"/>
    <w:tmpl w:val="063A5C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48877A4"/>
    <w:multiLevelType w:val="multilevel"/>
    <w:tmpl w:val="27CC0A8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6F34E3"/>
    <w:multiLevelType w:val="multilevel"/>
    <w:tmpl w:val="3152669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F6A3FB3"/>
    <w:multiLevelType w:val="multilevel"/>
    <w:tmpl w:val="074A0F9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E552CF"/>
    <w:multiLevelType w:val="multilevel"/>
    <w:tmpl w:val="0B8A2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CC"/>
    <w:rsid w:val="000711F2"/>
    <w:rsid w:val="00165D34"/>
    <w:rsid w:val="00171C74"/>
    <w:rsid w:val="001D228C"/>
    <w:rsid w:val="001F5377"/>
    <w:rsid w:val="00251274"/>
    <w:rsid w:val="002630BE"/>
    <w:rsid w:val="00365B16"/>
    <w:rsid w:val="00454215"/>
    <w:rsid w:val="004966CF"/>
    <w:rsid w:val="004C3576"/>
    <w:rsid w:val="005F3AE5"/>
    <w:rsid w:val="005F69D4"/>
    <w:rsid w:val="006A64C4"/>
    <w:rsid w:val="007369D7"/>
    <w:rsid w:val="007C003C"/>
    <w:rsid w:val="007C40E2"/>
    <w:rsid w:val="00816E93"/>
    <w:rsid w:val="00874D38"/>
    <w:rsid w:val="008756FF"/>
    <w:rsid w:val="008A1532"/>
    <w:rsid w:val="009C7A86"/>
    <w:rsid w:val="00A73421"/>
    <w:rsid w:val="00A852A1"/>
    <w:rsid w:val="00A85BD7"/>
    <w:rsid w:val="00A95BD6"/>
    <w:rsid w:val="00AA7E6F"/>
    <w:rsid w:val="00AD76CC"/>
    <w:rsid w:val="00B851FC"/>
    <w:rsid w:val="00CF21BB"/>
    <w:rsid w:val="00D1555A"/>
    <w:rsid w:val="00D23381"/>
    <w:rsid w:val="00DB1A81"/>
    <w:rsid w:val="00E50FCE"/>
    <w:rsid w:val="00E9331E"/>
    <w:rsid w:val="00EA23C7"/>
    <w:rsid w:val="00EB7995"/>
    <w:rsid w:val="00F95249"/>
    <w:rsid w:val="00FA0091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CB9F1-6B65-4CF3-925A-796D6133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03"/>
    <w:pPr>
      <w:widowControl w:val="0"/>
      <w:spacing w:before="20" w:after="40"/>
    </w:pPr>
    <w:rPr>
      <w:szCs w:val="20"/>
    </w:rPr>
  </w:style>
  <w:style w:type="paragraph" w:styleId="1">
    <w:name w:val="heading 1"/>
    <w:basedOn w:val="a"/>
    <w:next w:val="a"/>
    <w:uiPriority w:val="99"/>
    <w:qFormat/>
    <w:rsid w:val="00A14AAB"/>
    <w:pPr>
      <w:spacing w:before="36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9"/>
    <w:qFormat/>
    <w:rsid w:val="00A14AAB"/>
    <w:pPr>
      <w:spacing w:before="2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"/>
    <w:qFormat/>
    <w:locked/>
    <w:rsid w:val="00A14AAB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3">
    <w:name w:val="Верхний колонтитул Знак3"/>
    <w:basedOn w:val="a0"/>
    <w:link w:val="a4"/>
    <w:uiPriority w:val="99"/>
    <w:qFormat/>
    <w:locked/>
    <w:rsid w:val="00A14A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5">
    <w:name w:val="Название Знак"/>
    <w:basedOn w:val="a0"/>
    <w:uiPriority w:val="10"/>
    <w:qFormat/>
    <w:locked/>
    <w:rsid w:val="00A14AAB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Subst">
    <w:name w:val="Subst"/>
    <w:uiPriority w:val="99"/>
    <w:qFormat/>
    <w:rsid w:val="00A14AAB"/>
    <w:rPr>
      <w:b/>
      <w:i/>
    </w:rPr>
  </w:style>
  <w:style w:type="character" w:styleId="a6">
    <w:name w:val="annotation reference"/>
    <w:basedOn w:val="a0"/>
    <w:uiPriority w:val="99"/>
    <w:qFormat/>
    <w:rsid w:val="00B727F0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qFormat/>
    <w:rsid w:val="00B727F0"/>
    <w:rPr>
      <w:rFonts w:ascii="Times New Roman" w:hAnsi="Times New Roman"/>
      <w:sz w:val="20"/>
      <w:szCs w:val="20"/>
    </w:rPr>
  </w:style>
  <w:style w:type="character" w:customStyle="1" w:styleId="a8">
    <w:name w:val="Тема примечания Знак"/>
    <w:basedOn w:val="a7"/>
    <w:uiPriority w:val="99"/>
    <w:qFormat/>
    <w:rsid w:val="00B727F0"/>
    <w:rPr>
      <w:rFonts w:ascii="Times New Roman" w:hAnsi="Times New Roman"/>
      <w:b/>
      <w:bCs/>
      <w:sz w:val="20"/>
      <w:szCs w:val="20"/>
    </w:rPr>
  </w:style>
  <w:style w:type="character" w:customStyle="1" w:styleId="a9">
    <w:name w:val="Текст выноски Знак"/>
    <w:basedOn w:val="a0"/>
    <w:uiPriority w:val="99"/>
    <w:qFormat/>
    <w:rsid w:val="00B727F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uiPriority w:val="99"/>
    <w:qFormat/>
    <w:locked/>
    <w:rsid w:val="00241BEE"/>
    <w:rPr>
      <w:shd w:val="clear" w:color="auto" w:fill="FFFFFF"/>
    </w:rPr>
  </w:style>
  <w:style w:type="character" w:customStyle="1" w:styleId="ab">
    <w:name w:val="Цветовое выделение"/>
    <w:uiPriority w:val="99"/>
    <w:qFormat/>
    <w:rsid w:val="00740D24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qFormat/>
    <w:rsid w:val="00740D24"/>
    <w:rPr>
      <w:b w:val="0"/>
      <w:bCs w:val="0"/>
      <w:color w:val="106BBE"/>
    </w:rPr>
  </w:style>
  <w:style w:type="character" w:customStyle="1" w:styleId="ad">
    <w:name w:val="Цветовое выделение для Текст"/>
    <w:uiPriority w:val="99"/>
    <w:qFormat/>
    <w:rsid w:val="00740D24"/>
    <w:rPr>
      <w:rFonts w:ascii="Times New Roman CYR" w:hAnsi="Times New Roman CYR" w:cs="Times New Roman CYR"/>
    </w:rPr>
  </w:style>
  <w:style w:type="character" w:customStyle="1" w:styleId="a3">
    <w:name w:val="Верхний колонтитул Знак"/>
    <w:basedOn w:val="a0"/>
    <w:link w:val="10"/>
    <w:uiPriority w:val="99"/>
    <w:semiHidden/>
    <w:qFormat/>
    <w:rsid w:val="00740D24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Нижний колонтитул Знак"/>
    <w:basedOn w:val="a0"/>
    <w:link w:val="11"/>
    <w:uiPriority w:val="99"/>
    <w:semiHidden/>
    <w:qFormat/>
    <w:rsid w:val="00740D24"/>
    <w:rPr>
      <w:rFonts w:ascii="Times New Roman CYR" w:hAnsi="Times New Roman CYR" w:cs="Times New Roman CYR"/>
      <w:sz w:val="24"/>
      <w:szCs w:val="24"/>
    </w:rPr>
  </w:style>
  <w:style w:type="character" w:customStyle="1" w:styleId="11">
    <w:name w:val="Верхний колонтитул Знак1"/>
    <w:basedOn w:val="a0"/>
    <w:link w:val="ae"/>
    <w:uiPriority w:val="99"/>
    <w:semiHidden/>
    <w:qFormat/>
    <w:rsid w:val="00740D24"/>
    <w:rPr>
      <w:rFonts w:ascii="Times New Roman" w:hAnsi="Times New Roman"/>
      <w:sz w:val="20"/>
      <w:szCs w:val="20"/>
    </w:rPr>
  </w:style>
  <w:style w:type="character" w:customStyle="1" w:styleId="12">
    <w:name w:val="Нижний колонтитул Знак1"/>
    <w:basedOn w:val="a0"/>
    <w:uiPriority w:val="99"/>
    <w:semiHidden/>
    <w:qFormat/>
    <w:rsid w:val="00740D24"/>
    <w:rPr>
      <w:rFonts w:ascii="Times New Roman" w:hAnsi="Times New Roman"/>
      <w:sz w:val="20"/>
      <w:szCs w:val="20"/>
    </w:rPr>
  </w:style>
  <w:style w:type="character" w:customStyle="1" w:styleId="ListLabel1">
    <w:name w:val="ListLabel 1"/>
    <w:qFormat/>
    <w:rsid w:val="00436DA6"/>
    <w:rPr>
      <w:rFonts w:cs="Symbol"/>
    </w:rPr>
  </w:style>
  <w:style w:type="character" w:customStyle="1" w:styleId="ListLabel2">
    <w:name w:val="ListLabel 2"/>
    <w:qFormat/>
    <w:rsid w:val="00436DA6"/>
    <w:rPr>
      <w:rFonts w:ascii="Times New Roman CYR" w:eastAsia="Times New Roman" w:hAnsi="Times New Roman CYR" w:cs="Times New Roman CYR"/>
      <w:color w:val="FF0000"/>
      <w:sz w:val="24"/>
      <w:szCs w:val="24"/>
      <w:highlight w:val="yellow"/>
    </w:rPr>
  </w:style>
  <w:style w:type="character" w:customStyle="1" w:styleId="-">
    <w:name w:val="Интернет-ссылка"/>
    <w:basedOn w:val="a0"/>
    <w:uiPriority w:val="99"/>
    <w:unhideWhenUsed/>
    <w:rsid w:val="00FA2FAF"/>
    <w:rPr>
      <w:color w:val="0000FF" w:themeColor="hyperlink"/>
      <w:u w:val="single"/>
    </w:rPr>
  </w:style>
  <w:style w:type="character" w:customStyle="1" w:styleId="ListLabel3">
    <w:name w:val="ListLabel 3"/>
    <w:qFormat/>
    <w:rsid w:val="00436DA6"/>
    <w:rPr>
      <w:rFonts w:ascii="Times New Roman CYR" w:eastAsia="Times New Roman" w:hAnsi="Times New Roman CYR" w:cs="Times New Roman CYR"/>
      <w:color w:val="106BBE"/>
      <w:sz w:val="24"/>
      <w:szCs w:val="24"/>
    </w:rPr>
  </w:style>
  <w:style w:type="character" w:customStyle="1" w:styleId="ListLabel4">
    <w:name w:val="ListLabel 4"/>
    <w:qFormat/>
    <w:rsid w:val="00436DA6"/>
    <w:rPr>
      <w:rFonts w:ascii="Times New Roman CYR" w:eastAsia="Times New Roman" w:hAnsi="Times New Roman CYR" w:cs="Times New Roman CYR"/>
      <w:color w:val="106BBE"/>
      <w:sz w:val="24"/>
      <w:szCs w:val="24"/>
      <w:highlight w:val="yellow"/>
    </w:rPr>
  </w:style>
  <w:style w:type="character" w:customStyle="1" w:styleId="20">
    <w:name w:val="Заголовок №2_"/>
    <w:link w:val="21"/>
    <w:uiPriority w:val="99"/>
    <w:qFormat/>
    <w:locked/>
    <w:rsid w:val="00363BF0"/>
    <w:rPr>
      <w:rFonts w:cs="Times New Roman"/>
      <w:shd w:val="clear" w:color="auto" w:fill="FFFFFF"/>
    </w:rPr>
  </w:style>
  <w:style w:type="character" w:customStyle="1" w:styleId="30">
    <w:name w:val="Основной текст (3)_"/>
    <w:link w:val="31"/>
    <w:uiPriority w:val="99"/>
    <w:qFormat/>
    <w:locked/>
    <w:rsid w:val="00363BF0"/>
    <w:rPr>
      <w:rFonts w:cs="Times New Roman"/>
      <w:shd w:val="clear" w:color="auto" w:fill="FFFFFF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 CYR" w:hAnsi="Times New Roman CYR"/>
      <w:b/>
      <w:i w:val="0"/>
      <w:sz w:val="24"/>
    </w:rPr>
  </w:style>
  <w:style w:type="character" w:customStyle="1" w:styleId="ListLabel9">
    <w:name w:val="ListLabel 9"/>
    <w:qFormat/>
    <w:rPr>
      <w:b/>
      <w:i/>
    </w:rPr>
  </w:style>
  <w:style w:type="character" w:customStyle="1" w:styleId="ListLabel10">
    <w:name w:val="ListLabel 1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 CYR" w:hAnsi="Times New Roman CYR"/>
      <w:b/>
      <w:i w:val="0"/>
      <w:sz w:val="24"/>
    </w:rPr>
  </w:style>
  <w:style w:type="character" w:customStyle="1" w:styleId="ListLabel20">
    <w:name w:val="ListLabel 20"/>
    <w:qFormat/>
    <w:rPr>
      <w:rFonts w:ascii="Times New Roman" w:eastAsia="NSimSun" w:hAnsi="Times New Roman" w:cs="Times New Roman"/>
      <w:color w:val="auto"/>
    </w:rPr>
  </w:style>
  <w:style w:type="character" w:customStyle="1" w:styleId="ListLabel21">
    <w:name w:val="ListLabel 21"/>
    <w:qFormat/>
    <w:rPr>
      <w:rFonts w:ascii="Times New Roman CYR" w:eastAsia="Times New Roman" w:hAnsi="Times New Roman CYR" w:cs="Times New Roman CYR"/>
      <w:b/>
      <w:i/>
      <w:color w:val="auto"/>
      <w:sz w:val="24"/>
      <w:szCs w:val="24"/>
    </w:rPr>
  </w:style>
  <w:style w:type="character" w:customStyle="1" w:styleId="ListLabel22">
    <w:name w:val="ListLabel 22"/>
    <w:qFormat/>
    <w:rPr>
      <w:b/>
      <w:i/>
      <w:color w:val="auto"/>
      <w:sz w:val="24"/>
      <w:szCs w:val="24"/>
    </w:rPr>
  </w:style>
  <w:style w:type="character" w:customStyle="1" w:styleId="ListLabel23">
    <w:name w:val="ListLabel 23"/>
    <w:qFormat/>
    <w:rPr>
      <w:rFonts w:cs="Symbol"/>
      <w:b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 CYR" w:hAnsi="Times New Roman CYR"/>
      <w:b/>
      <w:i w:val="0"/>
      <w:sz w:val="24"/>
    </w:rPr>
  </w:style>
  <w:style w:type="character" w:customStyle="1" w:styleId="ListLabel33">
    <w:name w:val="ListLabel 33"/>
    <w:qFormat/>
    <w:rPr>
      <w:rFonts w:ascii="Times New Roman CYR" w:hAnsi="Times New Roman CYR"/>
      <w:b/>
      <w:i w:val="0"/>
      <w:sz w:val="24"/>
    </w:rPr>
  </w:style>
  <w:style w:type="character" w:customStyle="1" w:styleId="ListLabel34">
    <w:name w:val="ListLabel 34"/>
    <w:qFormat/>
    <w:rPr>
      <w:rFonts w:eastAsia="NSimSun" w:cs="Times New Roman"/>
      <w:color w:val="auto"/>
    </w:rPr>
  </w:style>
  <w:style w:type="character" w:customStyle="1" w:styleId="ListLabel35">
    <w:name w:val="ListLabel 35"/>
    <w:qFormat/>
    <w:rPr>
      <w:rFonts w:ascii="Times New Roman CYR" w:eastAsia="Times New Roman" w:hAnsi="Times New Roman CYR" w:cs="Times New Roman CYR"/>
      <w:b/>
      <w:i/>
      <w:color w:val="auto"/>
      <w:sz w:val="24"/>
      <w:szCs w:val="24"/>
    </w:rPr>
  </w:style>
  <w:style w:type="character" w:customStyle="1" w:styleId="ListLabel36">
    <w:name w:val="ListLabel 36"/>
    <w:qFormat/>
    <w:rPr>
      <w:b/>
      <w:i/>
      <w:color w:val="auto"/>
      <w:sz w:val="24"/>
      <w:szCs w:val="24"/>
    </w:rPr>
  </w:style>
  <w:style w:type="paragraph" w:customStyle="1" w:styleId="af">
    <w:name w:val="Заголовок"/>
    <w:basedOn w:val="a"/>
    <w:next w:val="af0"/>
    <w:qFormat/>
    <w:rsid w:val="00436D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Body Text"/>
    <w:basedOn w:val="a"/>
    <w:rsid w:val="00436DA6"/>
    <w:pPr>
      <w:spacing w:before="0" w:after="140" w:line="276" w:lineRule="auto"/>
    </w:pPr>
  </w:style>
  <w:style w:type="paragraph" w:styleId="af1">
    <w:name w:val="List"/>
    <w:basedOn w:val="af0"/>
    <w:rsid w:val="00436DA6"/>
  </w:style>
  <w:style w:type="paragraph" w:styleId="af2">
    <w:name w:val="caption"/>
    <w:basedOn w:val="a"/>
    <w:qFormat/>
    <w:rsid w:val="00436DA6"/>
    <w:pPr>
      <w:suppressLineNumbers/>
      <w:spacing w:before="120" w:after="120"/>
    </w:pPr>
    <w:rPr>
      <w:i/>
      <w:iCs/>
      <w:sz w:val="24"/>
      <w:szCs w:val="24"/>
    </w:rPr>
  </w:style>
  <w:style w:type="paragraph" w:styleId="af3">
    <w:name w:val="index heading"/>
    <w:basedOn w:val="a"/>
    <w:qFormat/>
    <w:rsid w:val="00436DA6"/>
    <w:pPr>
      <w:suppressLineNumbers/>
    </w:pPr>
  </w:style>
  <w:style w:type="paragraph" w:customStyle="1" w:styleId="SubHeading">
    <w:name w:val="Sub Heading"/>
    <w:uiPriority w:val="99"/>
    <w:qFormat/>
    <w:rsid w:val="00A14AAB"/>
    <w:pPr>
      <w:widowControl w:val="0"/>
      <w:spacing w:before="240" w:after="40"/>
    </w:pPr>
    <w:rPr>
      <w:szCs w:val="20"/>
    </w:rPr>
  </w:style>
  <w:style w:type="paragraph" w:styleId="af4">
    <w:name w:val="Title"/>
    <w:basedOn w:val="a"/>
    <w:next w:val="a"/>
    <w:uiPriority w:val="99"/>
    <w:qFormat/>
    <w:rsid w:val="00A14AAB"/>
    <w:pPr>
      <w:spacing w:before="0" w:after="240"/>
      <w:jc w:val="center"/>
    </w:pPr>
    <w:rPr>
      <w:b/>
      <w:bCs/>
      <w:sz w:val="32"/>
      <w:szCs w:val="32"/>
    </w:rPr>
  </w:style>
  <w:style w:type="paragraph" w:customStyle="1" w:styleId="SubTitle">
    <w:name w:val="Sub Title"/>
    <w:uiPriority w:val="99"/>
    <w:qFormat/>
    <w:rsid w:val="00A14AAB"/>
    <w:pPr>
      <w:widowControl w:val="0"/>
      <w:spacing w:after="240"/>
      <w:jc w:val="center"/>
    </w:pPr>
    <w:rPr>
      <w:b/>
      <w:bCs/>
    </w:rPr>
  </w:style>
  <w:style w:type="paragraph" w:customStyle="1" w:styleId="SubHeading1">
    <w:name w:val="Sub Heading1"/>
    <w:uiPriority w:val="99"/>
    <w:qFormat/>
    <w:rsid w:val="00A14AAB"/>
    <w:pPr>
      <w:widowControl w:val="0"/>
      <w:spacing w:before="80" w:after="20"/>
    </w:pPr>
    <w:rPr>
      <w:szCs w:val="20"/>
    </w:rPr>
  </w:style>
  <w:style w:type="paragraph" w:customStyle="1" w:styleId="Headingbalance">
    <w:name w:val="Heading_balance"/>
    <w:uiPriority w:val="99"/>
    <w:qFormat/>
    <w:rsid w:val="00A14AAB"/>
    <w:pPr>
      <w:widowControl w:val="0"/>
      <w:spacing w:before="120"/>
      <w:jc w:val="center"/>
    </w:pPr>
    <w:rPr>
      <w:b/>
      <w:bCs/>
      <w:szCs w:val="20"/>
    </w:rPr>
  </w:style>
  <w:style w:type="paragraph" w:customStyle="1" w:styleId="SpacedNormal">
    <w:name w:val="Spaced Normal"/>
    <w:uiPriority w:val="99"/>
    <w:qFormat/>
    <w:rsid w:val="00A14AAB"/>
    <w:pPr>
      <w:widowControl w:val="0"/>
      <w:spacing w:before="120" w:after="40"/>
    </w:pPr>
    <w:rPr>
      <w:szCs w:val="20"/>
    </w:rPr>
  </w:style>
  <w:style w:type="paragraph" w:customStyle="1" w:styleId="ThinDelim">
    <w:name w:val="Thin Delim"/>
    <w:uiPriority w:val="99"/>
    <w:qFormat/>
    <w:rsid w:val="00A14AAB"/>
    <w:pPr>
      <w:widowControl w:val="0"/>
    </w:pPr>
    <w:rPr>
      <w:sz w:val="16"/>
      <w:szCs w:val="16"/>
    </w:rPr>
  </w:style>
  <w:style w:type="paragraph" w:styleId="af5">
    <w:name w:val="annotation text"/>
    <w:basedOn w:val="a"/>
    <w:uiPriority w:val="99"/>
    <w:qFormat/>
    <w:rsid w:val="00B727F0"/>
  </w:style>
  <w:style w:type="paragraph" w:styleId="af6">
    <w:name w:val="annotation subject"/>
    <w:basedOn w:val="af5"/>
    <w:next w:val="af5"/>
    <w:uiPriority w:val="99"/>
    <w:qFormat/>
    <w:rsid w:val="00B727F0"/>
    <w:rPr>
      <w:b/>
      <w:bCs/>
    </w:rPr>
  </w:style>
  <w:style w:type="paragraph" w:styleId="af7">
    <w:name w:val="Balloon Text"/>
    <w:basedOn w:val="a"/>
    <w:uiPriority w:val="99"/>
    <w:qFormat/>
    <w:rsid w:val="00B727F0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uiPriority w:val="99"/>
    <w:qFormat/>
    <w:rsid w:val="00241BEE"/>
    <w:pPr>
      <w:widowControl/>
      <w:shd w:val="clear" w:color="auto" w:fill="FFFFFF"/>
      <w:spacing w:before="0" w:after="0" w:line="278" w:lineRule="exact"/>
      <w:ind w:hanging="340"/>
      <w:jc w:val="center"/>
    </w:pPr>
    <w:rPr>
      <w:rFonts w:asciiTheme="minorHAnsi" w:hAnsiTheme="minorHAnsi"/>
      <w:sz w:val="22"/>
      <w:szCs w:val="22"/>
    </w:rPr>
  </w:style>
  <w:style w:type="paragraph" w:styleId="af8">
    <w:name w:val="Normal (Web)"/>
    <w:basedOn w:val="a"/>
    <w:uiPriority w:val="99"/>
    <w:semiHidden/>
    <w:unhideWhenUsed/>
    <w:qFormat/>
    <w:rsid w:val="00721F08"/>
    <w:rPr>
      <w:sz w:val="24"/>
      <w:szCs w:val="24"/>
    </w:rPr>
  </w:style>
  <w:style w:type="paragraph" w:styleId="af9">
    <w:name w:val="List Paragraph"/>
    <w:basedOn w:val="a"/>
    <w:uiPriority w:val="34"/>
    <w:qFormat/>
    <w:rsid w:val="00EA72DC"/>
    <w:pPr>
      <w:ind w:left="720"/>
      <w:contextualSpacing/>
    </w:pPr>
  </w:style>
  <w:style w:type="paragraph" w:customStyle="1" w:styleId="afa">
    <w:name w:val="Нормальный (таблица)"/>
    <w:basedOn w:val="a"/>
    <w:next w:val="a"/>
    <w:uiPriority w:val="99"/>
    <w:qFormat/>
    <w:rsid w:val="00740D24"/>
    <w:pPr>
      <w:spacing w:before="0" w:after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qFormat/>
    <w:rsid w:val="00740D24"/>
    <w:pPr>
      <w:spacing w:before="0" w:after="0"/>
    </w:pPr>
    <w:rPr>
      <w:rFonts w:ascii="Courier New" w:hAnsi="Courier New" w:cs="Courier New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qFormat/>
    <w:rsid w:val="00740D24"/>
    <w:pPr>
      <w:spacing w:before="0" w:after="0"/>
    </w:pPr>
    <w:rPr>
      <w:rFonts w:ascii="Times New Roman CYR" w:hAnsi="Times New Roman CYR" w:cs="Times New Roman CYR"/>
      <w:sz w:val="24"/>
      <w:szCs w:val="24"/>
    </w:rPr>
  </w:style>
  <w:style w:type="paragraph" w:customStyle="1" w:styleId="14">
    <w:name w:val="Текст сноски1"/>
    <w:basedOn w:val="a"/>
    <w:next w:val="a"/>
    <w:uiPriority w:val="99"/>
    <w:qFormat/>
    <w:rsid w:val="00740D24"/>
    <w:pPr>
      <w:spacing w:before="0" w:after="0"/>
      <w:ind w:firstLine="720"/>
      <w:jc w:val="both"/>
    </w:pPr>
    <w:rPr>
      <w:rFonts w:ascii="Times New Roman CYR" w:hAnsi="Times New Roman CYR" w:cs="Times New Roman CYR"/>
    </w:rPr>
  </w:style>
  <w:style w:type="paragraph" w:customStyle="1" w:styleId="22">
    <w:name w:val="Верхний колонтитул Знак2"/>
    <w:basedOn w:val="a"/>
    <w:next w:val="a4"/>
    <w:link w:val="23"/>
    <w:uiPriority w:val="99"/>
    <w:semiHidden/>
    <w:unhideWhenUsed/>
    <w:qFormat/>
    <w:rsid w:val="00740D24"/>
    <w:pPr>
      <w:tabs>
        <w:tab w:val="center" w:pos="4677"/>
        <w:tab w:val="right" w:pos="9355"/>
      </w:tabs>
      <w:spacing w:before="0" w:after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21">
    <w:name w:val="Нижний колонтитул Знак2"/>
    <w:basedOn w:val="a"/>
    <w:next w:val="afd"/>
    <w:link w:val="20"/>
    <w:uiPriority w:val="99"/>
    <w:semiHidden/>
    <w:unhideWhenUsed/>
    <w:qFormat/>
    <w:rsid w:val="00740D24"/>
    <w:pPr>
      <w:tabs>
        <w:tab w:val="center" w:pos="4677"/>
        <w:tab w:val="right" w:pos="9355"/>
      </w:tabs>
      <w:spacing w:before="0" w:after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4">
    <w:name w:val="header"/>
    <w:basedOn w:val="a"/>
    <w:link w:val="3"/>
    <w:uiPriority w:val="99"/>
    <w:semiHidden/>
    <w:unhideWhenUsed/>
    <w:rsid w:val="00740D24"/>
    <w:pPr>
      <w:tabs>
        <w:tab w:val="center" w:pos="4677"/>
        <w:tab w:val="right" w:pos="9355"/>
      </w:tabs>
      <w:spacing w:before="0" w:after="0"/>
    </w:pPr>
  </w:style>
  <w:style w:type="paragraph" w:styleId="afd">
    <w:name w:val="footer"/>
    <w:basedOn w:val="a"/>
    <w:uiPriority w:val="99"/>
    <w:semiHidden/>
    <w:unhideWhenUsed/>
    <w:rsid w:val="00740D24"/>
    <w:pPr>
      <w:tabs>
        <w:tab w:val="center" w:pos="4677"/>
        <w:tab w:val="right" w:pos="9355"/>
      </w:tabs>
      <w:spacing w:before="0" w:after="0"/>
    </w:pPr>
  </w:style>
  <w:style w:type="paragraph" w:customStyle="1" w:styleId="DocumentMap">
    <w:name w:val="DocumentMap"/>
    <w:qFormat/>
    <w:rsid w:val="00436DA6"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eastAsia="ru-RU" w:bidi="ar-SA"/>
    </w:rPr>
  </w:style>
  <w:style w:type="paragraph" w:customStyle="1" w:styleId="afe">
    <w:name w:val="Содержимое таблицы"/>
    <w:basedOn w:val="a"/>
    <w:qFormat/>
    <w:rsid w:val="00436DA6"/>
    <w:pPr>
      <w:suppressLineNumbers/>
    </w:pPr>
  </w:style>
  <w:style w:type="paragraph" w:customStyle="1" w:styleId="aff">
    <w:name w:val="Заголовок таблицы"/>
    <w:basedOn w:val="afe"/>
    <w:qFormat/>
    <w:rsid w:val="00436DA6"/>
    <w:pPr>
      <w:jc w:val="center"/>
    </w:pPr>
    <w:rPr>
      <w:b/>
      <w:bCs/>
    </w:rPr>
  </w:style>
  <w:style w:type="paragraph" w:customStyle="1" w:styleId="15">
    <w:name w:val="1"/>
    <w:basedOn w:val="a"/>
    <w:qFormat/>
    <w:rsid w:val="00F271CB"/>
    <w:pPr>
      <w:widowControl/>
      <w:spacing w:beforeAutospacing="1" w:afterAutospacing="1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rsid w:val="0082626F"/>
    <w:rPr>
      <w:rFonts w:ascii="Tahoma" w:hAnsi="Tahoma" w:cs="Tahoma"/>
      <w:color w:val="000000"/>
      <w:kern w:val="0"/>
      <w:lang w:bidi="ar-SA"/>
    </w:rPr>
  </w:style>
  <w:style w:type="paragraph" w:styleId="aff0">
    <w:name w:val="No Spacing"/>
    <w:uiPriority w:val="1"/>
    <w:qFormat/>
    <w:rsid w:val="000C460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23">
    <w:name w:val="Заголовок №2"/>
    <w:basedOn w:val="a"/>
    <w:link w:val="22"/>
    <w:uiPriority w:val="99"/>
    <w:qFormat/>
    <w:rsid w:val="00363BF0"/>
    <w:pPr>
      <w:widowControl/>
      <w:shd w:val="clear" w:color="auto" w:fill="FFFFFF"/>
      <w:spacing w:before="480" w:after="0" w:line="274" w:lineRule="exact"/>
      <w:jc w:val="both"/>
      <w:outlineLvl w:val="1"/>
    </w:pPr>
    <w:rPr>
      <w:rFonts w:cs="Times New Roman"/>
      <w:sz w:val="24"/>
      <w:szCs w:val="24"/>
    </w:rPr>
  </w:style>
  <w:style w:type="paragraph" w:customStyle="1" w:styleId="31">
    <w:name w:val="Основной текст (3)"/>
    <w:basedOn w:val="a"/>
    <w:link w:val="30"/>
    <w:uiPriority w:val="99"/>
    <w:qFormat/>
    <w:rsid w:val="00363BF0"/>
    <w:pPr>
      <w:widowControl/>
      <w:shd w:val="clear" w:color="auto" w:fill="FFFFFF"/>
      <w:spacing w:before="0" w:after="360" w:line="240" w:lineRule="atLeast"/>
    </w:pPr>
    <w:rPr>
      <w:rFonts w:cs="Times New Roman"/>
      <w:sz w:val="24"/>
      <w:szCs w:val="24"/>
    </w:rPr>
  </w:style>
  <w:style w:type="numbering" w:customStyle="1" w:styleId="16">
    <w:name w:val="Нет списка1"/>
    <w:uiPriority w:val="99"/>
    <w:semiHidden/>
    <w:unhideWhenUsed/>
    <w:qFormat/>
    <w:rsid w:val="00740D24"/>
  </w:style>
  <w:style w:type="table" w:styleId="aff1">
    <w:name w:val="Table Grid"/>
    <w:basedOn w:val="a1"/>
    <w:uiPriority w:val="39"/>
    <w:rsid w:val="0048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39"/>
    <w:rsid w:val="00D461BA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80ajidrinhdbfg.xn--p1ai/aktsioneru-i-investoru/chzpsn-profnastil/bukhgalterskaya-otchetno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disclosure.ru/portal/files.aspx?id=4744&amp;type=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disclosure.ru/portal/files.aspx?id=4744&amp;typ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idrinhdbfg.xn--p1ai/aktsioneru-i-investoru/chzpsn-profnastil/bukhgalterskaya-otchetnost/" TargetMode="External"/><Relationship Id="rId10" Type="http://schemas.openxmlformats.org/officeDocument/2006/relationships/hyperlink" Target="https://xn--80ajidrinhdbfg.xn--p1ai/aktsioneru-i-investoru/chzpsn-profnastil/ustav-i-vnutrennie-dokumenty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-disclosure.ru/portal/files.aspx?id=4744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6B17-FFBC-48BE-92AF-A9E4CEDB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19</Pages>
  <Words>5901</Words>
  <Characters>33639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Lena</dc:creator>
  <dc:description/>
  <cp:lastModifiedBy>Анастасия Скорынина</cp:lastModifiedBy>
  <cp:revision>8</cp:revision>
  <cp:lastPrinted>2023-09-20T09:00:00Z</cp:lastPrinted>
  <dcterms:created xsi:type="dcterms:W3CDTF">2023-05-22T08:53:00Z</dcterms:created>
  <dcterms:modified xsi:type="dcterms:W3CDTF">2023-09-20T11:42:00Z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