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81" w:rsidRPr="00F14418" w:rsidRDefault="00942581" w:rsidP="00942581">
      <w:pPr>
        <w:shd w:val="clear" w:color="auto" w:fill="FFFFFF"/>
        <w:jc w:val="right"/>
        <w:rPr>
          <w:rFonts w:ascii="Times New Roman" w:hAnsi="Times New Roman" w:cs="Times New Roman"/>
          <w:sz w:val="24"/>
          <w:szCs w:val="24"/>
        </w:rPr>
      </w:pPr>
      <w:r w:rsidRPr="00F14418">
        <w:rPr>
          <w:rFonts w:ascii="Times New Roman" w:hAnsi="Times New Roman" w:cs="Times New Roman"/>
          <w:spacing w:val="-4"/>
          <w:sz w:val="24"/>
          <w:szCs w:val="24"/>
        </w:rPr>
        <w:t>Приложение № 1</w:t>
      </w:r>
    </w:p>
    <w:p w:rsidR="00942581" w:rsidRPr="00F14418" w:rsidRDefault="00942581" w:rsidP="00942581">
      <w:pPr>
        <w:shd w:val="clear" w:color="auto" w:fill="FFFFFF"/>
        <w:jc w:val="right"/>
        <w:rPr>
          <w:rFonts w:ascii="Times New Roman" w:hAnsi="Times New Roman" w:cs="Times New Roman"/>
          <w:sz w:val="24"/>
          <w:szCs w:val="24"/>
        </w:rPr>
      </w:pPr>
      <w:r w:rsidRPr="00F14418">
        <w:rPr>
          <w:rFonts w:ascii="Times New Roman" w:hAnsi="Times New Roman" w:cs="Times New Roman"/>
          <w:spacing w:val="-4"/>
          <w:sz w:val="24"/>
          <w:szCs w:val="24"/>
        </w:rPr>
        <w:t>к Положению об инсайдерской</w:t>
      </w:r>
    </w:p>
    <w:p w:rsidR="00942581" w:rsidRDefault="00942581" w:rsidP="00942581">
      <w:pPr>
        <w:shd w:val="clear" w:color="auto" w:fill="FFFFFF"/>
        <w:jc w:val="right"/>
        <w:rPr>
          <w:rFonts w:ascii="Times New Roman" w:hAnsi="Times New Roman" w:cs="Times New Roman"/>
          <w:spacing w:val="-4"/>
          <w:sz w:val="24"/>
          <w:szCs w:val="24"/>
        </w:rPr>
      </w:pPr>
      <w:r w:rsidRPr="00F14418">
        <w:rPr>
          <w:rFonts w:ascii="Times New Roman" w:hAnsi="Times New Roman" w:cs="Times New Roman"/>
          <w:spacing w:val="-4"/>
          <w:sz w:val="24"/>
          <w:szCs w:val="24"/>
        </w:rPr>
        <w:t xml:space="preserve">информации </w:t>
      </w:r>
      <w:r w:rsidRPr="00501B7D">
        <w:rPr>
          <w:rFonts w:ascii="Times New Roman" w:hAnsi="Times New Roman" w:cs="Times New Roman"/>
          <w:spacing w:val="-4"/>
          <w:sz w:val="24"/>
          <w:szCs w:val="24"/>
        </w:rPr>
        <w:t>ОАО «ЧЗПСН-</w:t>
      </w:r>
      <w:proofErr w:type="spellStart"/>
      <w:r w:rsidRPr="00501B7D">
        <w:rPr>
          <w:rFonts w:ascii="Times New Roman" w:hAnsi="Times New Roman" w:cs="Times New Roman"/>
          <w:spacing w:val="-4"/>
          <w:sz w:val="24"/>
          <w:szCs w:val="24"/>
        </w:rPr>
        <w:t>Профнастил</w:t>
      </w:r>
      <w:proofErr w:type="spellEnd"/>
      <w:r w:rsidRPr="00501B7D">
        <w:rPr>
          <w:rFonts w:ascii="Times New Roman" w:hAnsi="Times New Roman" w:cs="Times New Roman"/>
          <w:spacing w:val="-4"/>
          <w:sz w:val="24"/>
          <w:szCs w:val="24"/>
        </w:rPr>
        <w:t>»</w:t>
      </w:r>
      <w:r w:rsidRPr="00F14418">
        <w:rPr>
          <w:rFonts w:ascii="Times New Roman" w:hAnsi="Times New Roman" w:cs="Times New Roman"/>
          <w:spacing w:val="-4"/>
          <w:sz w:val="24"/>
          <w:szCs w:val="24"/>
        </w:rPr>
        <w:t xml:space="preserve">, </w:t>
      </w:r>
    </w:p>
    <w:p w:rsidR="00942581" w:rsidRDefault="00942581" w:rsidP="00942581">
      <w:pPr>
        <w:shd w:val="clear" w:color="auto" w:fill="FFFFFF"/>
        <w:jc w:val="right"/>
        <w:rPr>
          <w:rFonts w:ascii="Times New Roman" w:hAnsi="Times New Roman" w:cs="Times New Roman"/>
          <w:spacing w:val="-4"/>
          <w:sz w:val="24"/>
          <w:szCs w:val="24"/>
        </w:rPr>
      </w:pPr>
      <w:proofErr w:type="gramStart"/>
      <w:r>
        <w:rPr>
          <w:rFonts w:ascii="Times New Roman" w:hAnsi="Times New Roman" w:cs="Times New Roman"/>
          <w:spacing w:val="-4"/>
          <w:sz w:val="24"/>
          <w:szCs w:val="24"/>
        </w:rPr>
        <w:t>у</w:t>
      </w:r>
      <w:r w:rsidRPr="00F14418">
        <w:rPr>
          <w:rFonts w:ascii="Times New Roman" w:hAnsi="Times New Roman" w:cs="Times New Roman"/>
          <w:spacing w:val="-4"/>
          <w:sz w:val="24"/>
          <w:szCs w:val="24"/>
        </w:rPr>
        <w:t>твержденному</w:t>
      </w:r>
      <w:proofErr w:type="gramEnd"/>
      <w:r>
        <w:rPr>
          <w:rFonts w:ascii="Times New Roman" w:hAnsi="Times New Roman" w:cs="Times New Roman"/>
          <w:spacing w:val="-4"/>
          <w:sz w:val="24"/>
          <w:szCs w:val="24"/>
        </w:rPr>
        <w:t xml:space="preserve"> </w:t>
      </w:r>
      <w:r w:rsidRPr="00F14418">
        <w:rPr>
          <w:rFonts w:ascii="Times New Roman" w:hAnsi="Times New Roman" w:cs="Times New Roman"/>
          <w:spacing w:val="-4"/>
          <w:sz w:val="24"/>
          <w:szCs w:val="24"/>
        </w:rPr>
        <w:t xml:space="preserve">решением Совета директоров </w:t>
      </w:r>
    </w:p>
    <w:p w:rsidR="00942581" w:rsidRPr="00F14418" w:rsidRDefault="00942581" w:rsidP="00942581">
      <w:pPr>
        <w:shd w:val="clear" w:color="auto" w:fill="FFFFFF"/>
        <w:jc w:val="right"/>
        <w:rPr>
          <w:rFonts w:ascii="Times New Roman" w:hAnsi="Times New Roman" w:cs="Times New Roman"/>
          <w:sz w:val="24"/>
          <w:szCs w:val="24"/>
        </w:rPr>
      </w:pPr>
      <w:r w:rsidRPr="00F14418">
        <w:rPr>
          <w:rFonts w:ascii="Times New Roman" w:hAnsi="Times New Roman" w:cs="Times New Roman"/>
          <w:spacing w:val="-5"/>
          <w:sz w:val="24"/>
          <w:szCs w:val="24"/>
        </w:rPr>
        <w:t xml:space="preserve">(Протокол № </w:t>
      </w:r>
      <w:r>
        <w:rPr>
          <w:rFonts w:ascii="Times New Roman" w:hAnsi="Times New Roman" w:cs="Times New Roman"/>
          <w:spacing w:val="-5"/>
          <w:sz w:val="24"/>
          <w:szCs w:val="24"/>
        </w:rPr>
        <w:t>02/2012</w:t>
      </w:r>
      <w:r w:rsidRPr="00F14418">
        <w:rPr>
          <w:rFonts w:ascii="Times New Roman" w:hAnsi="Times New Roman" w:cs="Times New Roman"/>
          <w:spacing w:val="-5"/>
          <w:sz w:val="24"/>
          <w:szCs w:val="24"/>
        </w:rPr>
        <w:t xml:space="preserve"> от </w:t>
      </w:r>
      <w:r>
        <w:rPr>
          <w:rFonts w:ascii="Times New Roman" w:hAnsi="Times New Roman" w:cs="Times New Roman"/>
          <w:spacing w:val="-5"/>
          <w:sz w:val="24"/>
          <w:szCs w:val="24"/>
        </w:rPr>
        <w:t>02.07.</w:t>
      </w:r>
      <w:r w:rsidRPr="00F14418">
        <w:rPr>
          <w:rFonts w:ascii="Times New Roman" w:hAnsi="Times New Roman" w:cs="Times New Roman"/>
          <w:spacing w:val="-5"/>
          <w:sz w:val="24"/>
          <w:szCs w:val="24"/>
        </w:rPr>
        <w:t>2012г.)</w:t>
      </w:r>
    </w:p>
    <w:p w:rsidR="00942581" w:rsidRDefault="00942581" w:rsidP="00942581">
      <w:pPr>
        <w:shd w:val="clear" w:color="auto" w:fill="FFFFFF"/>
        <w:jc w:val="center"/>
        <w:rPr>
          <w:rFonts w:ascii="Times New Roman" w:hAnsi="Times New Roman" w:cs="Times New Roman"/>
          <w:b/>
          <w:bCs/>
          <w:sz w:val="24"/>
          <w:szCs w:val="24"/>
        </w:rPr>
      </w:pPr>
    </w:p>
    <w:p w:rsidR="00942581" w:rsidRDefault="00942581" w:rsidP="00942581">
      <w:pPr>
        <w:shd w:val="clear" w:color="auto" w:fill="FFFFFF"/>
        <w:jc w:val="center"/>
        <w:rPr>
          <w:rFonts w:ascii="Times New Roman" w:hAnsi="Times New Roman" w:cs="Times New Roman"/>
          <w:b/>
          <w:bCs/>
          <w:sz w:val="24"/>
          <w:szCs w:val="24"/>
        </w:rPr>
      </w:pPr>
    </w:p>
    <w:p w:rsidR="00942581" w:rsidRPr="004B4451" w:rsidRDefault="00942581" w:rsidP="00942581">
      <w:pPr>
        <w:shd w:val="clear" w:color="auto" w:fill="FFFFFF"/>
        <w:jc w:val="center"/>
        <w:rPr>
          <w:rFonts w:ascii="Times New Roman" w:hAnsi="Times New Roman" w:cs="Times New Roman"/>
          <w:b/>
          <w:bCs/>
          <w:spacing w:val="-2"/>
          <w:sz w:val="24"/>
          <w:szCs w:val="24"/>
        </w:rPr>
      </w:pPr>
      <w:r w:rsidRPr="004B4451">
        <w:rPr>
          <w:rFonts w:ascii="Times New Roman" w:hAnsi="Times New Roman" w:cs="Times New Roman"/>
          <w:b/>
          <w:bCs/>
          <w:sz w:val="24"/>
          <w:szCs w:val="24"/>
        </w:rPr>
        <w:t xml:space="preserve">Перечень </w:t>
      </w:r>
      <w:r w:rsidRPr="004B4451">
        <w:rPr>
          <w:rFonts w:ascii="Times New Roman" w:hAnsi="Times New Roman" w:cs="Times New Roman"/>
          <w:b/>
          <w:bCs/>
          <w:spacing w:val="-2"/>
          <w:sz w:val="24"/>
          <w:szCs w:val="24"/>
        </w:rPr>
        <w:t xml:space="preserve">инсайдерской информации Открытого акционерного общества </w:t>
      </w:r>
    </w:p>
    <w:p w:rsidR="00942581" w:rsidRPr="004B4451" w:rsidRDefault="00942581" w:rsidP="00942581">
      <w:pPr>
        <w:shd w:val="clear" w:color="auto" w:fill="FFFFFF"/>
        <w:jc w:val="center"/>
        <w:rPr>
          <w:rFonts w:ascii="Times New Roman" w:hAnsi="Times New Roman" w:cs="Times New Roman"/>
          <w:sz w:val="24"/>
          <w:szCs w:val="24"/>
        </w:rPr>
      </w:pPr>
      <w:r w:rsidRPr="004B4451">
        <w:rPr>
          <w:rFonts w:ascii="Times New Roman" w:hAnsi="Times New Roman" w:cs="Times New Roman"/>
          <w:b/>
          <w:bCs/>
          <w:spacing w:val="-2"/>
          <w:sz w:val="24"/>
          <w:szCs w:val="24"/>
        </w:rPr>
        <w:t>"Челябинский завод профилированного стального настила"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sz w:val="24"/>
          <w:szCs w:val="24"/>
        </w:rPr>
      </w:pPr>
      <w:r w:rsidRPr="004B4451">
        <w:rPr>
          <w:rFonts w:ascii="Times New Roman" w:hAnsi="Times New Roman" w:cs="Times New Roman"/>
          <w:spacing w:val="-26"/>
          <w:sz w:val="24"/>
          <w:szCs w:val="24"/>
        </w:rPr>
        <w:t>1.</w:t>
      </w:r>
      <w:r>
        <w:rPr>
          <w:rFonts w:ascii="Times New Roman" w:hAnsi="Times New Roman" w:cs="Times New Roman"/>
          <w:sz w:val="24"/>
          <w:szCs w:val="24"/>
        </w:rPr>
        <w:t xml:space="preserve"> </w:t>
      </w:r>
      <w:proofErr w:type="gramStart"/>
      <w:r w:rsidRPr="004B4451">
        <w:rPr>
          <w:rFonts w:ascii="Times New Roman" w:hAnsi="Times New Roman" w:cs="Times New Roman"/>
          <w:sz w:val="24"/>
          <w:szCs w:val="24"/>
        </w:rPr>
        <w:t>К  инсайдерской  информации Общества, утвержденной Приказом ФСФР РФ от 12.05.2011 N 11-18/</w:t>
      </w:r>
      <w:proofErr w:type="spellStart"/>
      <w:r w:rsidRPr="004B4451">
        <w:rPr>
          <w:rFonts w:ascii="Times New Roman" w:hAnsi="Times New Roman" w:cs="Times New Roman"/>
          <w:sz w:val="24"/>
          <w:szCs w:val="24"/>
        </w:rPr>
        <w:t>пз</w:t>
      </w:r>
      <w:proofErr w:type="spellEnd"/>
      <w:r w:rsidRPr="004B4451">
        <w:rPr>
          <w:rFonts w:ascii="Times New Roman" w:hAnsi="Times New Roman" w:cs="Times New Roman"/>
          <w:sz w:val="24"/>
          <w:szCs w:val="24"/>
        </w:rPr>
        <w:t>-н "Об утверждении Перечня информации, относящейся к инсайдерской информации лиц, указанных в пунктах 1 - 4, 11 и 12 статьи 4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порядка и сроков раскрытия такой</w:t>
      </w:r>
      <w:proofErr w:type="gramEnd"/>
      <w:r w:rsidRPr="004B4451">
        <w:rPr>
          <w:rFonts w:ascii="Times New Roman" w:hAnsi="Times New Roman" w:cs="Times New Roman"/>
          <w:sz w:val="24"/>
          <w:szCs w:val="24"/>
        </w:rPr>
        <w:t xml:space="preserve"> информации" относится информация:</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 о созыве и проведении общ</w:t>
      </w:r>
      <w:bookmarkStart w:id="0" w:name="_GoBack"/>
      <w:bookmarkEnd w:id="0"/>
      <w:r w:rsidRPr="004B4451">
        <w:rPr>
          <w:rFonts w:ascii="Times New Roman" w:hAnsi="Times New Roman" w:cs="Times New Roman"/>
          <w:bCs/>
          <w:iCs/>
          <w:sz w:val="24"/>
          <w:szCs w:val="24"/>
        </w:rPr>
        <w:t>его собрания акционеров Общества,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 о повестке дня заседания совета директоров Общества, а также о принятых им решениях;</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 о фактах непринятия советом директоров Общества следующих решений, которые должны быть приняты в соответствии с федеральными законами: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 созыве годового (очередного) общего собрания акционеров Общества, а также об иных решениях, связанных с подготовкой, созывом и проведением годового (очередного) общего собрания акционеров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 созыве (проведении) или об отказе в созыве (проведении) внеочередного общего собрания акционеров Общества,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 включении или об отказе во включении внесенных вопросов в повестку дня общего собрания акционеров Общества, а выдвинутых кандидатов - в список кандидатур для голосования по выборам в соответствующий орган Общества, которые предложены акционерами (акционером), являющимися в совокупности владельцами не менее чем 2 процентов голосующих акций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 об образовании единоличного исполнительного органа Общества, на двух проведенных подряд заседаниях совета директоров Общества либо в течение двух месяцев </w:t>
      </w:r>
      <w:proofErr w:type="gramStart"/>
      <w:r w:rsidRPr="004B4451">
        <w:rPr>
          <w:rFonts w:ascii="Times New Roman" w:hAnsi="Times New Roman" w:cs="Times New Roman"/>
          <w:bCs/>
          <w:iCs/>
          <w:sz w:val="24"/>
          <w:szCs w:val="24"/>
        </w:rPr>
        <w:t>с даты прекращения</w:t>
      </w:r>
      <w:proofErr w:type="gramEnd"/>
      <w:r w:rsidRPr="004B4451">
        <w:rPr>
          <w:rFonts w:ascii="Times New Roman" w:hAnsi="Times New Roman" w:cs="Times New Roman"/>
          <w:bCs/>
          <w:iCs/>
          <w:sz w:val="24"/>
          <w:szCs w:val="24"/>
        </w:rPr>
        <w:t xml:space="preserve"> или истечения срока действия полномочий ранее образованного единоличного исполнительного органа Общества в случае, предусмотренном </w:t>
      </w:r>
      <w:hyperlink r:id="rId5" w:history="1">
        <w:r w:rsidRPr="004B4451">
          <w:rPr>
            <w:rStyle w:val="a6"/>
            <w:rFonts w:ascii="Times New Roman" w:hAnsi="Times New Roman" w:cs="Times New Roman"/>
            <w:bCs/>
            <w:iCs/>
            <w:sz w:val="24"/>
            <w:szCs w:val="24"/>
          </w:rPr>
          <w:t>пунктом 6 статьи 69</w:t>
        </w:r>
      </w:hyperlink>
      <w:r w:rsidRPr="004B4451">
        <w:rPr>
          <w:rFonts w:ascii="Times New Roman" w:hAnsi="Times New Roman" w:cs="Times New Roman"/>
          <w:bCs/>
          <w:iCs/>
          <w:sz w:val="24"/>
          <w:szCs w:val="24"/>
        </w:rPr>
        <w:t xml:space="preserve"> Федерального закона от 26.12.1995 N 208-ФЗ "Об акционерных обществах";</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 о досрочном прекращении полномочий единоличного исполнительного органа Общества на двух проведенных подряд заседаниях совета директоров Общества в случае, предусмотренном </w:t>
      </w:r>
      <w:hyperlink r:id="rId6" w:history="1">
        <w:r w:rsidRPr="004B4451">
          <w:rPr>
            <w:rStyle w:val="a6"/>
            <w:rFonts w:ascii="Times New Roman" w:hAnsi="Times New Roman" w:cs="Times New Roman"/>
            <w:bCs/>
            <w:iCs/>
            <w:sz w:val="24"/>
            <w:szCs w:val="24"/>
          </w:rPr>
          <w:t>пунктом 7 статьи 69</w:t>
        </w:r>
      </w:hyperlink>
      <w:r w:rsidRPr="004B4451">
        <w:rPr>
          <w:rFonts w:ascii="Times New Roman" w:hAnsi="Times New Roman" w:cs="Times New Roman"/>
          <w:bCs/>
          <w:iCs/>
          <w:sz w:val="24"/>
          <w:szCs w:val="24"/>
        </w:rPr>
        <w:t xml:space="preserve"> Федерального закона "Об акционерных обществах";</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 созыве (проведении) внеочередного общего собрания акционеров Общества в случае, когда количество членов совета директоров Общества становится менее количества, составляющего кворум для проведения заседания совета директоров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 об образовании временного единоличного исполнительного органа Общества и о проведении внеочередного общего собрания акционеров Общества для решения вопроса о досрочном прекращении полномочий его единоличного исполнительного органа или управляющей организации (управляющего) и об образовании нового единоличного исполнительного органа Общества или о передаче полномочий его единоличного исполнительного органа управляющей организации (управляющему) в случае, когда советом директоров Общества принимается решение о приостановлении полномочий</w:t>
      </w:r>
      <w:proofErr w:type="gramEnd"/>
      <w:r w:rsidRPr="004B4451">
        <w:rPr>
          <w:rFonts w:ascii="Times New Roman" w:hAnsi="Times New Roman" w:cs="Times New Roman"/>
          <w:bCs/>
          <w:iCs/>
          <w:sz w:val="24"/>
          <w:szCs w:val="24"/>
        </w:rPr>
        <w:t xml:space="preserve"> его единоличного исполнительного органа или полномочий управляющей организации </w:t>
      </w:r>
      <w:r w:rsidRPr="004B4451">
        <w:rPr>
          <w:rFonts w:ascii="Times New Roman" w:hAnsi="Times New Roman" w:cs="Times New Roman"/>
          <w:bCs/>
          <w:iCs/>
          <w:sz w:val="24"/>
          <w:szCs w:val="24"/>
        </w:rPr>
        <w:lastRenderedPageBreak/>
        <w:t>(управляющего);</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 о рекомендациях в отношении полученного Обществом, добровольного, в том числе конкурирующего, или обязательного предложения, включающих оценку предложенной цены приобретаемых эмиссионных ценных бумаг и возможного 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Общества, в том числе в отношении его работников;</w:t>
      </w:r>
      <w:proofErr w:type="gramEnd"/>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 о направлении Обществом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Общества,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5) о появлен</w:t>
      </w:r>
      <w:proofErr w:type="gramStart"/>
      <w:r w:rsidRPr="004B4451">
        <w:rPr>
          <w:rFonts w:ascii="Times New Roman" w:hAnsi="Times New Roman" w:cs="Times New Roman"/>
          <w:bCs/>
          <w:iCs/>
          <w:sz w:val="24"/>
          <w:szCs w:val="24"/>
        </w:rPr>
        <w:t>ии у О</w:t>
      </w:r>
      <w:proofErr w:type="gramEnd"/>
      <w:r w:rsidRPr="004B4451">
        <w:rPr>
          <w:rFonts w:ascii="Times New Roman" w:hAnsi="Times New Roman" w:cs="Times New Roman"/>
          <w:bCs/>
          <w:iCs/>
          <w:sz w:val="24"/>
          <w:szCs w:val="24"/>
        </w:rPr>
        <w:t>бщества подконтрольной ему организации, имеющей для него существенное значение, а также о прекращении оснований контроля над такой организацией;</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6) о появлении лица, контролирующего Общество, а также о прекращении оснований такого контроля;</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7) о принятии решения о реорганизации или ликвидации организацией, контролирующей Общество, подконтрольной Обществу организацией, имеющей для него существенное значение, либо лицом, предоставившим обеспечение по облигациям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8) о направлении организацией, контролирующей Общество, подконтрольной Обществу организацией, имеющей для него существенное значение, либо лицом, предоставившим обеспечение по облигациям Общества,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9) о появлен</w:t>
      </w:r>
      <w:proofErr w:type="gramStart"/>
      <w:r w:rsidRPr="004B4451">
        <w:rPr>
          <w:rFonts w:ascii="Times New Roman" w:hAnsi="Times New Roman" w:cs="Times New Roman"/>
          <w:bCs/>
          <w:iCs/>
          <w:sz w:val="24"/>
          <w:szCs w:val="24"/>
        </w:rPr>
        <w:t>ии у О</w:t>
      </w:r>
      <w:proofErr w:type="gramEnd"/>
      <w:r w:rsidRPr="004B4451">
        <w:rPr>
          <w:rFonts w:ascii="Times New Roman" w:hAnsi="Times New Roman" w:cs="Times New Roman"/>
          <w:bCs/>
          <w:iCs/>
          <w:sz w:val="24"/>
          <w:szCs w:val="24"/>
        </w:rPr>
        <w:t>бщества, контролирующего его лица, подконтрольной Обществу организации, имеющей для него существенное значение, либо у лица, предоставившего обеспечение по облигациям Общества, признаков несостоятельности (банкротства), предусмотренных законодательством Российской Федерации о несостоятельности (банкротстве);</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10) о принятии арбитражным судом заявления о признании Общества, контролирующего его лица, подконтрольной Обществу организации, имеющей для него существенное значение, либо лица, предоставившего обеспечение по облигациям Общества,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roofErr w:type="gramEnd"/>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11) о предъявлении Обществу, контролирующей его организации, подконтрольной Обществу организации, имеющей для него существенное значение, либо лицу, предоставившему обеспечение по облигациям Общества, иска, размер требований по которому составляет 10 или более процентов балансовой стоимости активов указанных лиц на дату окончания отчетного периода (квартала, года), предшествующего предъявлению иска, в отношении которого истек установленный срок представления бухгалтерской (финансовой) отчетности, или иного иска</w:t>
      </w:r>
      <w:proofErr w:type="gramEnd"/>
      <w:r w:rsidRPr="004B4451">
        <w:rPr>
          <w:rFonts w:ascii="Times New Roman" w:hAnsi="Times New Roman" w:cs="Times New Roman"/>
          <w:bCs/>
          <w:iCs/>
          <w:sz w:val="24"/>
          <w:szCs w:val="24"/>
        </w:rPr>
        <w:t xml:space="preserve">, </w:t>
      </w:r>
      <w:proofErr w:type="gramStart"/>
      <w:r w:rsidRPr="004B4451">
        <w:rPr>
          <w:rFonts w:ascii="Times New Roman" w:hAnsi="Times New Roman" w:cs="Times New Roman"/>
          <w:bCs/>
          <w:iCs/>
          <w:sz w:val="24"/>
          <w:szCs w:val="24"/>
        </w:rPr>
        <w:t>удовлетворение</w:t>
      </w:r>
      <w:proofErr w:type="gramEnd"/>
      <w:r w:rsidRPr="004B4451">
        <w:rPr>
          <w:rFonts w:ascii="Times New Roman" w:hAnsi="Times New Roman" w:cs="Times New Roman"/>
          <w:bCs/>
          <w:iCs/>
          <w:sz w:val="24"/>
          <w:szCs w:val="24"/>
        </w:rPr>
        <w:t xml:space="preserve"> которого, по мнению Общества, может существенным образом повлиять на финансово-хозяйственное положение Общества или указанных лиц;</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12) о дате, на которую составляется список владельцев именных эмиссионных ценных бумаг Общества или документарных эмиссионных ценных бумаг Общества на предъявителя с обязательным централизованным хранением для целей осуществления (реализации) прав, закрепленных такими эмиссионными ценными бумагами;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13) о принятии уполномоченными органами Общества следующих решений:</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 размещении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об утверждении решения о выпуске (дополнительном выпуске)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об утверждении проспекта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lastRenderedPageBreak/>
        <w:t>- о дате начала размещения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14) о завершении размещения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15) о направлении (подаче) Обществом заявления на государственную регистрацию выпуска (дополнительного выпуска) эмиссионных ценных бумаг, регистрацию проспекта ценных бумаг, регистрацию изменений, вносимых в решение о выпуске (дополнительном выпуске) эмиссионных ценных бумаг и (или) в их проспект, государственную регистрацию отчета об итогах выпуска (дополнительного выпуска) эмиссионных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16) о направлении (подаче) Обществом уведомления об итогах выпуска (дополнительного выпуска) эмиссионных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17) о решении арбитражного суда о признании выпуска (дополнительного выпуска) эмиссионных ценных бумаг Общества </w:t>
      </w:r>
      <w:proofErr w:type="gramStart"/>
      <w:r w:rsidRPr="004B4451">
        <w:rPr>
          <w:rFonts w:ascii="Times New Roman" w:hAnsi="Times New Roman" w:cs="Times New Roman"/>
          <w:bCs/>
          <w:iCs/>
          <w:sz w:val="24"/>
          <w:szCs w:val="24"/>
        </w:rPr>
        <w:t>недействительным</w:t>
      </w:r>
      <w:proofErr w:type="gramEnd"/>
      <w:r w:rsidRPr="004B4451">
        <w:rPr>
          <w:rFonts w:ascii="Times New Roman" w:hAnsi="Times New Roman" w:cs="Times New Roman"/>
          <w:bCs/>
          <w:iCs/>
          <w:sz w:val="24"/>
          <w:szCs w:val="24"/>
        </w:rPr>
        <w:t>;</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18) о погашении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19) о начисленных и (или) выплаченных доходах по эмиссионным ценным бумагам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20) о заключении Обществом договора с российским организатором торговли на рынке ценных бумаг о включении эмиссионных ценных бумаг Общества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Общества в котировальный список российской фондовой биржи;</w:t>
      </w:r>
      <w:proofErr w:type="gramEnd"/>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21) о заключении Обществом договора о включении эмиссионных ценных бумаг Общества в список ценных бумаг, допущенных к торгам на иностранном организованном (регулируемом) финансовом рынке, а также договора с иностранной фондовой биржей о включении таких ценных бумаг в котировальный список иностранной фондовой биржи;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22) о включении эмиссионных ценных бумаг Общества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фондовой биржи таких ценных бумаг или об их исключении из указанного списка;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23) о заключении Обществом договора о поддержании (стабилизации) цен на эмиссионные ценные бумаги Общества, об условиях указанного договора, а также о прекращении такого договора;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24) о подаче Обществом заявления на получение разрешения федерального органа исполнительной власти по рынку ценных бумаг на размещение и (или) организацию обращения его эмиссионных ценных бумаг за пределами Российской Федерации;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25) о неисполнении обязательств Общества перед владельцами его эмиссионных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26)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Общества, распоряжаться определенным количеством голосов, приходящихся на голосующие</w:t>
      </w:r>
      <w:proofErr w:type="gramEnd"/>
      <w:r w:rsidRPr="004B4451">
        <w:rPr>
          <w:rFonts w:ascii="Times New Roman" w:hAnsi="Times New Roman" w:cs="Times New Roman"/>
          <w:bCs/>
          <w:iCs/>
          <w:sz w:val="24"/>
          <w:szCs w:val="24"/>
        </w:rPr>
        <w:t xml:space="preserve"> акции (доли), составляющие уставный капитал Общества,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27) о поступившем Обществу в соответствии с </w:t>
      </w:r>
      <w:hyperlink r:id="rId7" w:history="1">
        <w:r w:rsidRPr="004B4451">
          <w:rPr>
            <w:rStyle w:val="a6"/>
            <w:rFonts w:ascii="Times New Roman" w:hAnsi="Times New Roman" w:cs="Times New Roman"/>
            <w:bCs/>
            <w:iCs/>
            <w:sz w:val="24"/>
            <w:szCs w:val="24"/>
          </w:rPr>
          <w:t>главой XI.1</w:t>
        </w:r>
      </w:hyperlink>
      <w:r w:rsidRPr="004B4451">
        <w:rPr>
          <w:rFonts w:ascii="Times New Roman" w:hAnsi="Times New Roman" w:cs="Times New Roman"/>
          <w:bCs/>
          <w:iCs/>
          <w:sz w:val="24"/>
          <w:szCs w:val="24"/>
        </w:rPr>
        <w:t xml:space="preserve"> Федерального закона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28) о поступившем Обществу в соответствии с </w:t>
      </w:r>
      <w:hyperlink r:id="rId8" w:history="1">
        <w:r w:rsidRPr="004B4451">
          <w:rPr>
            <w:rStyle w:val="a6"/>
            <w:rFonts w:ascii="Times New Roman" w:hAnsi="Times New Roman" w:cs="Times New Roman"/>
            <w:bCs/>
            <w:iCs/>
            <w:sz w:val="24"/>
            <w:szCs w:val="24"/>
          </w:rPr>
          <w:t>главой XI.1</w:t>
        </w:r>
      </w:hyperlink>
      <w:r w:rsidRPr="004B4451">
        <w:rPr>
          <w:rFonts w:ascii="Times New Roman" w:hAnsi="Times New Roman" w:cs="Times New Roman"/>
          <w:bCs/>
          <w:iCs/>
          <w:sz w:val="24"/>
          <w:szCs w:val="24"/>
        </w:rPr>
        <w:t xml:space="preserve"> Федерального закона "Об акционерных обществах" уведомлении о праве требовать выкупа эмиссионных ценных бумаг Общества или требовании о выкупе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29) о выявлении ошибок в ранее раскрытой или предоставленной бухгалтерской </w:t>
      </w:r>
      <w:r w:rsidRPr="004B4451">
        <w:rPr>
          <w:rFonts w:ascii="Times New Roman" w:hAnsi="Times New Roman" w:cs="Times New Roman"/>
          <w:bCs/>
          <w:iCs/>
          <w:sz w:val="24"/>
          <w:szCs w:val="24"/>
        </w:rPr>
        <w:lastRenderedPageBreak/>
        <w:t>(финансовой) отчетности Общества, если такие ошибки могут оказать существенное влияние на цену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30) о совершении Обществом или лицом, предоставившим обеспечение по облигациям Общества, сделки, размер которой составляет 10 или более процентов балансовой стоимости активов Общества или указанного лица на дату окончания отчетного периода (квартала, года), предшествующего совершению сделки, в отношении которого истек установленный срок представления бухгалтерской (финансовой) отчетности;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31) о совершении организацией, контролирующей Общество, или подконтрольной Обществу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32) о совершении Обществом сделки, в совершении которой имеется заинтересованность и необходимость одобрения которой уполномоченным органом управления Общества предусмотрена законодательством Российской Федерации, если размер такой сделки составляет 500 млн. рублей либо 2 или более процента балансовой стоимости активов Общества на дату окончания отчетного периода (квартала, года), предшествующего совершению Обществом такой сделки;</w:t>
      </w:r>
      <w:proofErr w:type="gramEnd"/>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33) об изменении состава и (или) размера предмета залога по облигациям Общества с залоговым обеспечением, а в случае изменения состава и (или) размера предмета залога по облигациям Общества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w:t>
      </w:r>
      <w:proofErr w:type="gramEnd"/>
      <w:r w:rsidRPr="004B4451">
        <w:rPr>
          <w:rFonts w:ascii="Times New Roman" w:hAnsi="Times New Roman" w:cs="Times New Roman"/>
          <w:bCs/>
          <w:iCs/>
          <w:sz w:val="24"/>
          <w:szCs w:val="24"/>
        </w:rPr>
        <w:t xml:space="preserve"> 10 или более процентов от размера ипотечного покрытия облигаций;</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34) об изменении стоимости активов лица, предоставившего обеспечение по облигациям Общества, которое составляет 10 или более процентов, или об ином существенном, по мнению Общества, изменении финансово-хозяйственного положения такого лица;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35) о получении Обществом или прекращении у Общества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включены в список</w:t>
      </w:r>
      <w:proofErr w:type="gramEnd"/>
      <w:r w:rsidRPr="004B4451">
        <w:rPr>
          <w:rFonts w:ascii="Times New Roman" w:hAnsi="Times New Roman" w:cs="Times New Roman"/>
          <w:bCs/>
          <w:iCs/>
          <w:sz w:val="24"/>
          <w:szCs w:val="24"/>
        </w:rPr>
        <w:t xml:space="preserve"> </w:t>
      </w:r>
      <w:proofErr w:type="gramStart"/>
      <w:r w:rsidRPr="004B4451">
        <w:rPr>
          <w:rFonts w:ascii="Times New Roman" w:hAnsi="Times New Roman" w:cs="Times New Roman"/>
          <w:bCs/>
          <w:iCs/>
          <w:sz w:val="24"/>
          <w:szCs w:val="24"/>
        </w:rPr>
        <w:t>ценных бумаг, допущенных к торгам организатором торговли на рынке ценных бумаг, либо стоимость активов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w:t>
      </w:r>
      <w:proofErr w:type="gramEnd"/>
      <w:r w:rsidRPr="004B4451">
        <w:rPr>
          <w:rFonts w:ascii="Times New Roman" w:hAnsi="Times New Roman" w:cs="Times New Roman"/>
          <w:bCs/>
          <w:iCs/>
          <w:sz w:val="24"/>
          <w:szCs w:val="24"/>
        </w:rPr>
        <w:t xml:space="preserve"> на голосующие акции (доли), составляющие уставный капитал такой организации;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36)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Общества, распоряжаться определенным</w:t>
      </w:r>
      <w:proofErr w:type="gramEnd"/>
      <w:r w:rsidRPr="004B4451">
        <w:rPr>
          <w:rFonts w:ascii="Times New Roman" w:hAnsi="Times New Roman" w:cs="Times New Roman"/>
          <w:bCs/>
          <w:iCs/>
          <w:sz w:val="24"/>
          <w:szCs w:val="24"/>
        </w:rPr>
        <w:t xml:space="preserve"> количеством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37) о заключении Обществом, контролирующим его лицом или подконтрольной Обществу организацией договора, предусматривающего обязанность приобретать эмиссионные ценные бумаги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lastRenderedPageBreak/>
        <w:t>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Общества на осуществление определенной деятельности, имеющей для указанного Общества существенное финансово-хозяйственное значение;</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39) об истечении срока полномочий единоличного исполнительного органа и (или) членов коллегиального исполнительного органа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40) об изменении размера доли участия в уставном (складочном) капитале Общества и подконтрольных Обществу организаций, имеющих для него существенное значение:</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лиц, являющихся членами совета директоров (наблюдательного совета), членами коллегиального исполнительного органа Общества, а также лица, занимающего должность (осуществляющего функции) единоличного исполнительного органа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лиц, являющихся членами совета директоров (наблюдательного совета),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единоличного исполнительного органа Общества переданы управляющей организации;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41) о возникновении и (или) прекращении у владельцев облигаций Общества права требовать от Общества досрочного погашения принадлежащих им облигаций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42) о привлечении или замене организаций, оказывающих Обществу услуги посредника при исполнении Обществом обязательств по облигациям или иным эмиссионным ценным бумагам Общества, с указанием их наименований, мест нахождения и размеров вознаграждений за оказываемые услуги, а также об изменении указанных сведений;</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43) о споре, связанном с созданием Общества, управлением им или участием в нем, если решение по указанному спору может оказать существенное влияние на цену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44) о предъявлении лицу, предоставившему обеспечение по облигациям Общества, требований, связанных с исполнением обязательств по таким облигациям;</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45)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46) о приобретении (об отчуждении) голосующих акций (долей) Общества или ценных бумаг иностранного эмитента, удостоверяющих права в отношении голосующих акций Общества, Обществом и (или) подконтрольными Обществу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Обществом и (или) подконтрольной ему организацией;</w:t>
      </w:r>
      <w:proofErr w:type="gramEnd"/>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proofErr w:type="gramStart"/>
      <w:r w:rsidRPr="004B4451">
        <w:rPr>
          <w:rFonts w:ascii="Times New Roman" w:hAnsi="Times New Roman" w:cs="Times New Roman"/>
          <w:bCs/>
          <w:iCs/>
          <w:sz w:val="24"/>
          <w:szCs w:val="24"/>
        </w:rPr>
        <w:t>47) направляемая или предоставляемая Обществом соответствующему органу (соответствующей организации) иностранного государства, иностранной фондовой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Общества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w:t>
      </w:r>
      <w:proofErr w:type="gramEnd"/>
      <w:r w:rsidRPr="004B4451">
        <w:rPr>
          <w:rFonts w:ascii="Times New Roman" w:hAnsi="Times New Roman" w:cs="Times New Roman"/>
          <w:bCs/>
          <w:iCs/>
          <w:sz w:val="24"/>
          <w:szCs w:val="24"/>
        </w:rPr>
        <w:t xml:space="preserve"> эмитента, если такая информация может оказать существенное влияние на цену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48) составляющая годовую или промежуточную (квартальную) бухгалтерскую (финансовую) отчетность Общества, в том числе его годовую или промежуточную сводную бухгалтерскую (консолидированную финансовую) отчетность, а также содержащаяся в аудиторском заключении, подготовленном в отношении указанной отчетности;</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49) составляющая условия размещения эмиссионных ценных бумаг, определенные утвержденным уполномоченным органом Общества решением о выпуске (дополнительном выпуске) ценных бумаг, в случае:</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размещения ценных бумаг на торгах, проводимых организатором торговли на рынке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 размещения ценных бумаг дополнительного выпуска, если ценные бумаги выпуска, </w:t>
      </w:r>
      <w:r w:rsidRPr="004B4451">
        <w:rPr>
          <w:rFonts w:ascii="Times New Roman" w:hAnsi="Times New Roman" w:cs="Times New Roman"/>
          <w:bCs/>
          <w:iCs/>
          <w:sz w:val="24"/>
          <w:szCs w:val="24"/>
        </w:rPr>
        <w:lastRenderedPageBreak/>
        <w:t>по отношению к которому размещаемые ценные бумаги составляют дополнительный выпуск, допущены к торгам на организаторе торговли на рынке ценных бумаг или в отношении них подана заявка о допуске к торгам на организаторе торговли на рынке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50) </w:t>
      </w:r>
      <w:proofErr w:type="gramStart"/>
      <w:r w:rsidRPr="004B4451">
        <w:rPr>
          <w:rFonts w:ascii="Times New Roman" w:hAnsi="Times New Roman" w:cs="Times New Roman"/>
          <w:bCs/>
          <w:iCs/>
          <w:sz w:val="24"/>
          <w:szCs w:val="24"/>
        </w:rPr>
        <w:t>содержащаяся</w:t>
      </w:r>
      <w:proofErr w:type="gramEnd"/>
      <w:r w:rsidRPr="004B4451">
        <w:rPr>
          <w:rFonts w:ascii="Times New Roman" w:hAnsi="Times New Roman" w:cs="Times New Roman"/>
          <w:bCs/>
          <w:iCs/>
          <w:sz w:val="24"/>
          <w:szCs w:val="24"/>
        </w:rPr>
        <w:t xml:space="preserve"> в утвержденном уполномоченным органом Общества отчете (уведомлении) об итогах выпуска эмиссионных ценных бумаг в случае:</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размещения ценных бумаг на торгах, проводимых организатором торговли на рынке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размещения ценных бумаг дополнительного выпуска, если ценные бумаги выпуска, по отношению к которому размещаемые ценные бумаги составляют дополнительный выпуск, допущены к торгам на организаторе торговли на рынке ценных бумаг или в отношении них подана заявка о допуске к торгам на организаторе торговли на рынке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51) содержащаяся в утвержденном уполномоченным органом Общества проспекте ценных бумаг, за исключением информации, которая ранее уже была раскрыта или предоставлена в соответствии с требованиями </w:t>
      </w:r>
      <w:hyperlink r:id="rId9" w:history="1">
        <w:r w:rsidRPr="004B4451">
          <w:rPr>
            <w:rStyle w:val="a6"/>
            <w:rFonts w:ascii="Times New Roman" w:hAnsi="Times New Roman" w:cs="Times New Roman"/>
            <w:bCs/>
            <w:iCs/>
            <w:sz w:val="24"/>
            <w:szCs w:val="24"/>
          </w:rPr>
          <w:t>законодательства</w:t>
        </w:r>
      </w:hyperlink>
      <w:r w:rsidRPr="004B4451">
        <w:rPr>
          <w:rFonts w:ascii="Times New Roman" w:hAnsi="Times New Roman" w:cs="Times New Roman"/>
          <w:bCs/>
          <w:iCs/>
          <w:sz w:val="24"/>
          <w:szCs w:val="24"/>
        </w:rPr>
        <w:t xml:space="preserve"> Российской Федерации о ценных бумагах;</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52) содержащаяся в подписанных уполномоченными лицами Общества ежеквартальных отчетах, за исключением информации, которая ранее уже была раскрыта или предоставлена в соответствии с требованиями </w:t>
      </w:r>
      <w:hyperlink r:id="rId10" w:history="1">
        <w:r w:rsidRPr="004B4451">
          <w:rPr>
            <w:rStyle w:val="a6"/>
            <w:rFonts w:ascii="Times New Roman" w:hAnsi="Times New Roman" w:cs="Times New Roman"/>
            <w:bCs/>
            <w:iCs/>
            <w:sz w:val="24"/>
            <w:szCs w:val="24"/>
          </w:rPr>
          <w:t>законодательства</w:t>
        </w:r>
      </w:hyperlink>
      <w:r w:rsidRPr="004B4451">
        <w:rPr>
          <w:rFonts w:ascii="Times New Roman" w:hAnsi="Times New Roman" w:cs="Times New Roman"/>
          <w:bCs/>
          <w:iCs/>
          <w:sz w:val="24"/>
          <w:szCs w:val="24"/>
        </w:rPr>
        <w:t xml:space="preserve"> Российской Федерации о ценных бумагах;</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53) содержащаяся в подписанных уполномоченными лицами Общества, годовых отчетах Общества, за исключением информации, которая ранее уже была раскрыта или предоставлена в соответствии с требованиями </w:t>
      </w:r>
      <w:hyperlink r:id="rId11" w:history="1">
        <w:r w:rsidRPr="004B4451">
          <w:rPr>
            <w:rStyle w:val="a6"/>
            <w:rFonts w:ascii="Times New Roman" w:hAnsi="Times New Roman" w:cs="Times New Roman"/>
            <w:bCs/>
            <w:iCs/>
            <w:sz w:val="24"/>
            <w:szCs w:val="24"/>
          </w:rPr>
          <w:t>законодательства</w:t>
        </w:r>
      </w:hyperlink>
      <w:r w:rsidRPr="004B4451">
        <w:rPr>
          <w:rFonts w:ascii="Times New Roman" w:hAnsi="Times New Roman" w:cs="Times New Roman"/>
          <w:bCs/>
          <w:iCs/>
          <w:sz w:val="24"/>
          <w:szCs w:val="24"/>
        </w:rPr>
        <w:t xml:space="preserve"> Российской Федерации о ценных бумагах;</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54) о заключении эмитентом договора о стратегическом партнерстве или иного договора, не предусмотренного </w:t>
      </w:r>
      <w:hyperlink r:id="rId12" w:history="1">
        <w:r w:rsidRPr="004B4451">
          <w:rPr>
            <w:rStyle w:val="a6"/>
            <w:rFonts w:ascii="Times New Roman" w:hAnsi="Times New Roman" w:cs="Times New Roman"/>
            <w:bCs/>
            <w:iCs/>
            <w:sz w:val="24"/>
            <w:szCs w:val="24"/>
          </w:rPr>
          <w:t>подпунктами 20</w:t>
        </w:r>
      </w:hyperlink>
      <w:r w:rsidRPr="004B4451">
        <w:rPr>
          <w:rFonts w:ascii="Times New Roman" w:hAnsi="Times New Roman" w:cs="Times New Roman"/>
          <w:bCs/>
          <w:iCs/>
          <w:sz w:val="24"/>
          <w:szCs w:val="24"/>
        </w:rPr>
        <w:t xml:space="preserve">, </w:t>
      </w:r>
      <w:hyperlink r:id="rId13" w:history="1">
        <w:r w:rsidRPr="004B4451">
          <w:rPr>
            <w:rStyle w:val="a6"/>
            <w:rFonts w:ascii="Times New Roman" w:hAnsi="Times New Roman" w:cs="Times New Roman"/>
            <w:bCs/>
            <w:iCs/>
            <w:sz w:val="24"/>
            <w:szCs w:val="24"/>
          </w:rPr>
          <w:t>21</w:t>
        </w:r>
      </w:hyperlink>
      <w:r w:rsidRPr="004B4451">
        <w:rPr>
          <w:rFonts w:ascii="Times New Roman" w:hAnsi="Times New Roman" w:cs="Times New Roman"/>
          <w:bCs/>
          <w:iCs/>
          <w:sz w:val="24"/>
          <w:szCs w:val="24"/>
        </w:rPr>
        <w:t xml:space="preserve">, </w:t>
      </w:r>
      <w:hyperlink r:id="rId14" w:history="1">
        <w:r w:rsidRPr="004B4451">
          <w:rPr>
            <w:rStyle w:val="a6"/>
            <w:rFonts w:ascii="Times New Roman" w:hAnsi="Times New Roman" w:cs="Times New Roman"/>
            <w:bCs/>
            <w:iCs/>
            <w:sz w:val="24"/>
            <w:szCs w:val="24"/>
          </w:rPr>
          <w:t>23</w:t>
        </w:r>
      </w:hyperlink>
      <w:r w:rsidRPr="004B4451">
        <w:rPr>
          <w:rFonts w:ascii="Times New Roman" w:hAnsi="Times New Roman" w:cs="Times New Roman"/>
          <w:bCs/>
          <w:iCs/>
          <w:sz w:val="24"/>
          <w:szCs w:val="24"/>
        </w:rPr>
        <w:t xml:space="preserve">, </w:t>
      </w:r>
      <w:hyperlink r:id="rId15" w:history="1">
        <w:r w:rsidRPr="004B4451">
          <w:rPr>
            <w:rStyle w:val="a6"/>
            <w:rFonts w:ascii="Times New Roman" w:hAnsi="Times New Roman" w:cs="Times New Roman"/>
            <w:bCs/>
            <w:iCs/>
            <w:sz w:val="24"/>
            <w:szCs w:val="24"/>
          </w:rPr>
          <w:t>30</w:t>
        </w:r>
      </w:hyperlink>
      <w:r w:rsidRPr="004B4451">
        <w:rPr>
          <w:rFonts w:ascii="Times New Roman" w:hAnsi="Times New Roman" w:cs="Times New Roman"/>
          <w:bCs/>
          <w:iCs/>
          <w:sz w:val="24"/>
          <w:szCs w:val="24"/>
        </w:rPr>
        <w:t xml:space="preserve">, </w:t>
      </w:r>
      <w:hyperlink r:id="rId16" w:history="1">
        <w:r w:rsidRPr="004B4451">
          <w:rPr>
            <w:rStyle w:val="a6"/>
            <w:rFonts w:ascii="Times New Roman" w:hAnsi="Times New Roman" w:cs="Times New Roman"/>
            <w:bCs/>
            <w:iCs/>
            <w:sz w:val="24"/>
            <w:szCs w:val="24"/>
          </w:rPr>
          <w:t>32</w:t>
        </w:r>
      </w:hyperlink>
      <w:r w:rsidRPr="004B4451">
        <w:rPr>
          <w:rFonts w:ascii="Times New Roman" w:hAnsi="Times New Roman" w:cs="Times New Roman"/>
          <w:bCs/>
          <w:iCs/>
          <w:sz w:val="24"/>
          <w:szCs w:val="24"/>
        </w:rPr>
        <w:t xml:space="preserve">, </w:t>
      </w:r>
      <w:hyperlink r:id="rId17" w:history="1">
        <w:r w:rsidRPr="004B4451">
          <w:rPr>
            <w:rStyle w:val="a6"/>
            <w:rFonts w:ascii="Times New Roman" w:hAnsi="Times New Roman" w:cs="Times New Roman"/>
            <w:bCs/>
            <w:iCs/>
            <w:sz w:val="24"/>
            <w:szCs w:val="24"/>
          </w:rPr>
          <w:t>37</w:t>
        </w:r>
      </w:hyperlink>
      <w:r w:rsidRPr="004B4451">
        <w:rPr>
          <w:rFonts w:ascii="Times New Roman" w:hAnsi="Times New Roman" w:cs="Times New Roman"/>
          <w:bCs/>
          <w:iCs/>
          <w:sz w:val="24"/>
          <w:szCs w:val="24"/>
        </w:rPr>
        <w:t>, если заключение таких договоров может оказать существенное влияние на цену эмиссионных ценных бумаг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2. Настоящий перечень информации Общества относится к инсайдерской информации Общества до момента ее обязательного раскрытия (предоставления), опубликования в соответствии с требованиями законодательства Российской Федерации, внутренних документов Общества.</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3. Настоящий перечень информации Общества относится к инсайдерской информации Общества в случае, если эмиссионные ценные бумаги Общества допущены к торгам на организаторе торговли на рынке ценных бумаг или в отношении них подана заявка о допуске к торгам на организаторе торговли на рынке ценных бумаг.</w:t>
      </w:r>
    </w:p>
    <w:p w:rsidR="00942581" w:rsidRPr="004B4451" w:rsidRDefault="00942581" w:rsidP="00942581">
      <w:pPr>
        <w:shd w:val="clear" w:color="auto" w:fill="FFFFFF"/>
        <w:tabs>
          <w:tab w:val="left" w:pos="567"/>
          <w:tab w:val="left" w:pos="1134"/>
        </w:tabs>
        <w:ind w:firstLine="567"/>
        <w:jc w:val="both"/>
        <w:rPr>
          <w:rFonts w:ascii="Times New Roman" w:hAnsi="Times New Roman" w:cs="Times New Roman"/>
          <w:bCs/>
          <w:iCs/>
          <w:sz w:val="24"/>
          <w:szCs w:val="24"/>
        </w:rPr>
      </w:pPr>
      <w:r w:rsidRPr="004B4451">
        <w:rPr>
          <w:rFonts w:ascii="Times New Roman" w:hAnsi="Times New Roman" w:cs="Times New Roman"/>
          <w:bCs/>
          <w:iCs/>
          <w:sz w:val="24"/>
          <w:szCs w:val="24"/>
        </w:rPr>
        <w:t xml:space="preserve">4. </w:t>
      </w:r>
      <w:proofErr w:type="gramStart"/>
      <w:r w:rsidRPr="004B4451">
        <w:rPr>
          <w:rFonts w:ascii="Times New Roman" w:hAnsi="Times New Roman" w:cs="Times New Roman"/>
          <w:bCs/>
          <w:iCs/>
          <w:sz w:val="24"/>
          <w:szCs w:val="24"/>
        </w:rPr>
        <w:t>К инсайдерской информации не относится информация и (или) основанные на ней сведения, которые передаются Обществом и (или) привлеченным им лицом (лицами) потенциальным приобретателям либо используются Обществом и (или) привлеченным им лицом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 (организацией предложения) в Российской Федерации</w:t>
      </w:r>
      <w:proofErr w:type="gramEnd"/>
      <w:r w:rsidRPr="004B4451">
        <w:rPr>
          <w:rFonts w:ascii="Times New Roman" w:hAnsi="Times New Roman" w:cs="Times New Roman"/>
          <w:bCs/>
          <w:iCs/>
          <w:sz w:val="24"/>
          <w:szCs w:val="24"/>
        </w:rPr>
        <w:t xml:space="preserve"> или за ее пределами эмиссионных ценных бумаг Общества, в том числе посредством размещения ценных бумаг иностранного эмитента, удостоверяющих права в отношении эмиссионных ценных бумаг Общества,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4B4451">
        <w:rPr>
          <w:rFonts w:ascii="Times New Roman" w:hAnsi="Times New Roman" w:cs="Times New Roman"/>
          <w:bCs/>
          <w:iCs/>
          <w:sz w:val="24"/>
          <w:szCs w:val="24"/>
        </w:rPr>
        <w:t>решения</w:t>
      </w:r>
      <w:proofErr w:type="gramEnd"/>
      <w:r w:rsidRPr="004B4451">
        <w:rPr>
          <w:rFonts w:ascii="Times New Roman" w:hAnsi="Times New Roman" w:cs="Times New Roman"/>
          <w:bCs/>
          <w:iCs/>
          <w:sz w:val="24"/>
          <w:szCs w:val="24"/>
        </w:rPr>
        <w:t xml:space="preserve"> о приобретении размещаемых (предлагаемых) ценных бумаг.</w:t>
      </w:r>
    </w:p>
    <w:p w:rsidR="00942581" w:rsidRPr="004B4451" w:rsidRDefault="00942581" w:rsidP="00942581">
      <w:pPr>
        <w:pStyle w:val="a3"/>
        <w:shd w:val="clear" w:color="auto" w:fill="FFFFFF"/>
        <w:tabs>
          <w:tab w:val="left" w:pos="0"/>
          <w:tab w:val="left" w:pos="1134"/>
        </w:tabs>
        <w:ind w:left="0" w:firstLine="567"/>
        <w:jc w:val="both"/>
        <w:rPr>
          <w:rFonts w:ascii="Times New Roman" w:hAnsi="Times New Roman" w:cs="Times New Roman"/>
          <w:sz w:val="24"/>
          <w:szCs w:val="24"/>
        </w:rPr>
      </w:pPr>
    </w:p>
    <w:p w:rsidR="003539A4" w:rsidRDefault="003539A4"/>
    <w:sectPr w:rsidR="003539A4" w:rsidSect="001C3B8D">
      <w:footerReference w:type="default" r:id="rId18"/>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205" w:rsidRPr="00EA2023" w:rsidRDefault="00942581">
    <w:pPr>
      <w:pStyle w:val="a4"/>
      <w:jc w:val="right"/>
      <w:rPr>
        <w:rFonts w:ascii="Times New Roman" w:hAnsi="Times New Roman" w:cs="Times New Roman"/>
      </w:rPr>
    </w:pPr>
    <w:r w:rsidRPr="00EA2023">
      <w:rPr>
        <w:rFonts w:ascii="Times New Roman" w:hAnsi="Times New Roman" w:cs="Times New Roman"/>
      </w:rPr>
      <w:fldChar w:fldCharType="begin"/>
    </w:r>
    <w:r w:rsidRPr="00EA2023">
      <w:rPr>
        <w:rFonts w:ascii="Times New Roman" w:hAnsi="Times New Roman" w:cs="Times New Roman"/>
      </w:rPr>
      <w:instrText xml:space="preserve"> PAGE   \* MERGEFORMAT </w:instrText>
    </w:r>
    <w:r w:rsidRPr="00EA2023">
      <w:rPr>
        <w:rFonts w:ascii="Times New Roman" w:hAnsi="Times New Roman" w:cs="Times New Roman"/>
      </w:rPr>
      <w:fldChar w:fldCharType="separate"/>
    </w:r>
    <w:r>
      <w:rPr>
        <w:rFonts w:ascii="Times New Roman" w:hAnsi="Times New Roman" w:cs="Times New Roman"/>
        <w:noProof/>
      </w:rPr>
      <w:t>6</w:t>
    </w:r>
    <w:r w:rsidRPr="00EA2023">
      <w:rPr>
        <w:rFonts w:ascii="Times New Roman" w:hAnsi="Times New Roman"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81"/>
    <w:rsid w:val="003539A4"/>
    <w:rsid w:val="00942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8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2581"/>
    <w:pPr>
      <w:ind w:left="720"/>
      <w:contextualSpacing/>
    </w:pPr>
  </w:style>
  <w:style w:type="paragraph" w:styleId="a4">
    <w:name w:val="footer"/>
    <w:basedOn w:val="a"/>
    <w:link w:val="a5"/>
    <w:uiPriority w:val="99"/>
    <w:unhideWhenUsed/>
    <w:rsid w:val="00942581"/>
    <w:pPr>
      <w:tabs>
        <w:tab w:val="center" w:pos="4677"/>
        <w:tab w:val="right" w:pos="9355"/>
      </w:tabs>
    </w:pPr>
  </w:style>
  <w:style w:type="character" w:customStyle="1" w:styleId="a5">
    <w:name w:val="Нижний колонтитул Знак"/>
    <w:basedOn w:val="a0"/>
    <w:link w:val="a4"/>
    <w:uiPriority w:val="99"/>
    <w:rsid w:val="00942581"/>
    <w:rPr>
      <w:rFonts w:ascii="Arial" w:eastAsia="Times New Roman" w:hAnsi="Arial" w:cs="Arial"/>
      <w:sz w:val="20"/>
      <w:szCs w:val="20"/>
      <w:lang w:eastAsia="ru-RU"/>
    </w:rPr>
  </w:style>
  <w:style w:type="character" w:styleId="a6">
    <w:name w:val="Hyperlink"/>
    <w:uiPriority w:val="99"/>
    <w:unhideWhenUsed/>
    <w:rsid w:val="00942581"/>
    <w:rPr>
      <w:color w:val="0077B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8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2581"/>
    <w:pPr>
      <w:ind w:left="720"/>
      <w:contextualSpacing/>
    </w:pPr>
  </w:style>
  <w:style w:type="paragraph" w:styleId="a4">
    <w:name w:val="footer"/>
    <w:basedOn w:val="a"/>
    <w:link w:val="a5"/>
    <w:uiPriority w:val="99"/>
    <w:unhideWhenUsed/>
    <w:rsid w:val="00942581"/>
    <w:pPr>
      <w:tabs>
        <w:tab w:val="center" w:pos="4677"/>
        <w:tab w:val="right" w:pos="9355"/>
      </w:tabs>
    </w:pPr>
  </w:style>
  <w:style w:type="character" w:customStyle="1" w:styleId="a5">
    <w:name w:val="Нижний колонтитул Знак"/>
    <w:basedOn w:val="a0"/>
    <w:link w:val="a4"/>
    <w:uiPriority w:val="99"/>
    <w:rsid w:val="00942581"/>
    <w:rPr>
      <w:rFonts w:ascii="Arial" w:eastAsia="Times New Roman" w:hAnsi="Arial" w:cs="Arial"/>
      <w:sz w:val="20"/>
      <w:szCs w:val="20"/>
      <w:lang w:eastAsia="ru-RU"/>
    </w:rPr>
  </w:style>
  <w:style w:type="character" w:styleId="a6">
    <w:name w:val="Hyperlink"/>
    <w:uiPriority w:val="99"/>
    <w:unhideWhenUsed/>
    <w:rsid w:val="00942581"/>
    <w:rPr>
      <w:color w:val="0077B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3958A2258359E098F3791271479F079C73EB567759E0D66E370F900355F4AA3465804CX2i1K" TargetMode="External"/><Relationship Id="rId13" Type="http://schemas.openxmlformats.org/officeDocument/2006/relationships/hyperlink" Target="consultantplus://offline/ref=3F3958A2258359E098F3791271479F079C70E5577E59E0D66E370F900355F4AA3465804C25EC0723XBi3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F3958A2258359E098F3791271479F079C73EB567759E0D66E370F900355F4AA3465804CX2i1K" TargetMode="External"/><Relationship Id="rId12" Type="http://schemas.openxmlformats.org/officeDocument/2006/relationships/hyperlink" Target="consultantplus://offline/ref=3F3958A2258359E098F3791271479F079C70E5577E59E0D66E370F900355F4AA3465804C25EC0723XBi2K" TargetMode="External"/><Relationship Id="rId17" Type="http://schemas.openxmlformats.org/officeDocument/2006/relationships/hyperlink" Target="consultantplus://offline/ref=3F3958A2258359E098F3791271479F079C70E5577E59E0D66E370F900355F4AA3465804C25EC072DXBiFK" TargetMode="External"/><Relationship Id="rId2" Type="http://schemas.microsoft.com/office/2007/relationships/stylesWithEffects" Target="stylesWithEffects.xml"/><Relationship Id="rId16" Type="http://schemas.openxmlformats.org/officeDocument/2006/relationships/hyperlink" Target="consultantplus://offline/ref=3F3958A2258359E098F3791271479F079C70E5577E59E0D66E370F900355F4AA3465804CX2i5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F3958A2258359E098F3791271479F079C73EB567759E0D66E370F900355F4AA3465804C25ED0625XBi9K" TargetMode="External"/><Relationship Id="rId11" Type="http://schemas.openxmlformats.org/officeDocument/2006/relationships/hyperlink" Target="consultantplus://offline/ref=3F3958A2258359E098F3791271479F079C73E850765EE0D66E370F900355F4AA3465804926XEi8K" TargetMode="External"/><Relationship Id="rId5" Type="http://schemas.openxmlformats.org/officeDocument/2006/relationships/hyperlink" Target="consultantplus://offline/ref=3F3958A2258359E098F3791271479F079C73EB567759E0D66E370F900355F4AA3465804C25ED0624XBi2K" TargetMode="External"/><Relationship Id="rId15" Type="http://schemas.openxmlformats.org/officeDocument/2006/relationships/hyperlink" Target="consultantplus://offline/ref=3F3958A2258359E098F3791271479F079C70E5577E59E0D66E370F900355F4AA3465804C25EC072CXBi2K" TargetMode="External"/><Relationship Id="rId10" Type="http://schemas.openxmlformats.org/officeDocument/2006/relationships/hyperlink" Target="consultantplus://offline/ref=3F3958A2258359E098F3791271479F079C73E850765EE0D66E370F900355F4AA3465804926XEi8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F3958A2258359E098F3791271479F079C73E850765EE0D66E370F900355F4AA3465804926XEi8K" TargetMode="External"/><Relationship Id="rId14" Type="http://schemas.openxmlformats.org/officeDocument/2006/relationships/hyperlink" Target="consultantplus://offline/ref=3F3958A2258359E098F3791271479F079C70E5577E59E0D66E370F900355F4AA3465804C25EC072CXBi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2012-07-03T10:44:00Z</dcterms:created>
  <dcterms:modified xsi:type="dcterms:W3CDTF">2012-07-03T10:44:00Z</dcterms:modified>
</cp:coreProperties>
</file>